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color w:val="000000" w:themeColor="text1"/>
          <w:sz w:val="36"/>
          <w:szCs w:val="36"/>
          <w14:textFill>
            <w14:solidFill>
              <w14:schemeClr w14:val="tx1"/>
            </w14:solidFill>
          </w14:textFill>
        </w:rPr>
      </w:pPr>
      <w:r>
        <w:rPr>
          <w:rFonts w:hint="eastAsia" w:ascii="宋体" w:hAnsi="宋体" w:eastAsia="宋体" w:cs="宋体"/>
          <w:b/>
          <w:bCs/>
          <w:color w:val="000000" w:themeColor="text1"/>
          <w:sz w:val="36"/>
          <w:szCs w:val="36"/>
          <w:lang w:eastAsia="zh-CN"/>
          <w14:textFill>
            <w14:solidFill>
              <w14:schemeClr w14:val="tx1"/>
            </w14:solidFill>
          </w14:textFill>
        </w:rPr>
        <w:fldChar w:fldCharType="begin"/>
      </w:r>
      <w:r>
        <w:rPr>
          <w:rFonts w:hint="eastAsia" w:ascii="宋体" w:hAnsi="宋体" w:eastAsia="宋体" w:cs="宋体"/>
          <w:b/>
          <w:bCs/>
          <w:color w:val="000000" w:themeColor="text1"/>
          <w:sz w:val="36"/>
          <w:szCs w:val="36"/>
          <w:lang w:eastAsia="zh-CN"/>
          <w14:textFill>
            <w14:solidFill>
              <w14:schemeClr w14:val="tx1"/>
            </w14:solidFill>
          </w14:textFill>
        </w:rPr>
        <w:instrText xml:space="preserve"> MERGEFIELD "单位" </w:instrText>
      </w:r>
      <w:r>
        <w:rPr>
          <w:rFonts w:hint="eastAsia" w:ascii="宋体" w:hAnsi="宋体" w:eastAsia="宋体" w:cs="宋体"/>
          <w:b/>
          <w:bCs/>
          <w:color w:val="000000" w:themeColor="text1"/>
          <w:sz w:val="36"/>
          <w:szCs w:val="36"/>
          <w:lang w:eastAsia="zh-CN"/>
          <w14:textFill>
            <w14:solidFill>
              <w14:schemeClr w14:val="tx1"/>
            </w14:solidFill>
          </w14:textFill>
        </w:rPr>
        <w:fldChar w:fldCharType="separate"/>
      </w:r>
      <w:r>
        <w:rPr>
          <w:rFonts w:hint="eastAsia" w:ascii="宋体" w:hAnsi="宋体" w:eastAsia="宋体" w:cs="宋体"/>
          <w:b/>
          <w:bCs/>
          <w:color w:val="000000" w:themeColor="text1"/>
          <w:sz w:val="36"/>
          <w:szCs w:val="36"/>
          <w:lang w:eastAsia="zh-CN"/>
          <w14:textFill>
            <w14:solidFill>
              <w14:schemeClr w14:val="tx1"/>
            </w14:solidFill>
          </w14:textFill>
        </w:rPr>
        <w:t>崇阳县教</w:t>
      </w:r>
      <w:bookmarkStart w:id="32" w:name="_GoBack"/>
      <w:bookmarkEnd w:id="32"/>
      <w:r>
        <w:rPr>
          <w:rFonts w:hint="eastAsia" w:ascii="宋体" w:hAnsi="宋体" w:eastAsia="宋体" w:cs="宋体"/>
          <w:b/>
          <w:bCs/>
          <w:color w:val="000000" w:themeColor="text1"/>
          <w:sz w:val="36"/>
          <w:szCs w:val="36"/>
          <w:lang w:eastAsia="zh-CN"/>
          <w14:textFill>
            <w14:solidFill>
              <w14:schemeClr w14:val="tx1"/>
            </w14:solidFill>
          </w14:textFill>
        </w:rPr>
        <w:t>育局(汇总)</w:t>
      </w:r>
      <w:r>
        <w:rPr>
          <w:rFonts w:hint="eastAsia" w:ascii="宋体" w:hAnsi="宋体" w:eastAsia="宋体" w:cs="宋体"/>
          <w:b/>
          <w:bCs/>
          <w:color w:val="000000" w:themeColor="text1"/>
          <w:sz w:val="36"/>
          <w:szCs w:val="36"/>
          <w:lang w:eastAsia="zh-CN"/>
          <w14:textFill>
            <w14:solidFill>
              <w14:schemeClr w14:val="tx1"/>
            </w14:solidFill>
          </w14:textFill>
        </w:rPr>
        <w:fldChar w:fldCharType="end"/>
      </w:r>
      <w:r>
        <w:rPr>
          <w:rFonts w:hint="eastAsia" w:ascii="宋体" w:hAnsi="宋体" w:eastAsia="宋体" w:cs="宋体"/>
          <w:b/>
          <w:bCs/>
          <w:color w:val="000000" w:themeColor="text1"/>
          <w:sz w:val="36"/>
          <w:szCs w:val="36"/>
          <w:lang w:eastAsia="zh-CN"/>
          <w14:textFill>
            <w14:solidFill>
              <w14:schemeClr w14:val="tx1"/>
            </w14:solidFill>
          </w14:textFill>
        </w:rPr>
        <w:t>2022</w:t>
      </w:r>
      <w:r>
        <w:rPr>
          <w:rFonts w:hint="eastAsia" w:ascii="宋体" w:hAnsi="宋体" w:eastAsia="宋体" w:cs="宋体"/>
          <w:b/>
          <w:bCs/>
          <w:color w:val="000000" w:themeColor="text1"/>
          <w:sz w:val="36"/>
          <w:szCs w:val="36"/>
          <w14:textFill>
            <w14:solidFill>
              <w14:schemeClr w14:val="tx1"/>
            </w14:solidFill>
          </w14:textFill>
        </w:rPr>
        <w:t>年部门决算</w:t>
      </w:r>
    </w:p>
    <w:p>
      <w:pPr>
        <w:ind w:firstLine="3654" w:firstLineChars="1300"/>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目  录</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第一部分 部门</w:t>
      </w:r>
      <w:r>
        <w:rPr>
          <w:rFonts w:hint="eastAsia" w:ascii="仿宋" w:hAnsi="仿宋" w:eastAsia="仿宋" w:cs="仿宋"/>
          <w:b/>
          <w:color w:val="auto"/>
          <w:sz w:val="28"/>
          <w:szCs w:val="28"/>
          <w:lang w:val="en-US" w:eastAsia="zh-CN"/>
        </w:rPr>
        <w:t>名称</w:t>
      </w:r>
      <w:r>
        <w:rPr>
          <w:rFonts w:hint="eastAsia" w:ascii="仿宋" w:hAnsi="仿宋" w:eastAsia="仿宋" w:cs="仿宋"/>
          <w:b/>
          <w:color w:val="auto"/>
          <w:sz w:val="28"/>
          <w:szCs w:val="28"/>
        </w:rPr>
        <w:t>概况</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一、</w:t>
      </w:r>
      <w:r>
        <w:rPr>
          <w:rFonts w:hint="eastAsia" w:ascii="仿宋" w:hAnsi="仿宋" w:eastAsia="仿宋" w:cs="仿宋"/>
          <w:color w:val="auto"/>
          <w:sz w:val="28"/>
          <w:szCs w:val="28"/>
          <w:lang w:eastAsia="zh-CN"/>
        </w:rPr>
        <w:t>部门</w:t>
      </w:r>
      <w:r>
        <w:rPr>
          <w:rFonts w:hint="eastAsia" w:ascii="仿宋" w:hAnsi="仿宋" w:eastAsia="仿宋" w:cs="仿宋"/>
          <w:color w:val="auto"/>
          <w:sz w:val="28"/>
          <w:szCs w:val="28"/>
          <w:lang w:val="en-US" w:eastAsia="zh-CN"/>
        </w:rPr>
        <w:t>主要</w:t>
      </w:r>
      <w:r>
        <w:rPr>
          <w:rFonts w:hint="eastAsia" w:ascii="仿宋" w:hAnsi="仿宋" w:eastAsia="仿宋" w:cs="仿宋"/>
          <w:color w:val="auto"/>
          <w:sz w:val="28"/>
          <w:szCs w:val="28"/>
          <w:lang w:eastAsia="zh-CN"/>
        </w:rPr>
        <w:t>职责</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二、机构设置情况</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三、人员情况</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四</w:t>
      </w:r>
      <w:r>
        <w:rPr>
          <w:rFonts w:hint="eastAsia" w:ascii="仿宋" w:hAnsi="仿宋" w:eastAsia="仿宋" w:cs="仿宋"/>
          <w:color w:val="auto"/>
          <w:sz w:val="28"/>
          <w:szCs w:val="28"/>
        </w:rPr>
        <w:t>、部门决算汇编范围</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五</w:t>
      </w:r>
      <w:r>
        <w:rPr>
          <w:rFonts w:hint="eastAsia" w:ascii="仿宋" w:hAnsi="仿宋" w:eastAsia="仿宋" w:cs="仿宋"/>
          <w:color w:val="auto"/>
          <w:sz w:val="28"/>
          <w:szCs w:val="28"/>
        </w:rPr>
        <w:t>、部门决算单位构成</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第二部分</w:t>
      </w:r>
      <w:r>
        <w:rPr>
          <w:rFonts w:hint="eastAsia" w:ascii="仿宋" w:hAnsi="仿宋" w:eastAsia="仿宋" w:cs="仿宋"/>
          <w:b/>
          <w:color w:val="auto"/>
          <w:sz w:val="28"/>
          <w:szCs w:val="28"/>
          <w:lang w:val="en-US" w:eastAsia="zh-CN"/>
        </w:rPr>
        <w:t xml:space="preserve"> </w:t>
      </w:r>
      <w:r>
        <w:rPr>
          <w:rFonts w:hint="eastAsia" w:ascii="仿宋" w:hAnsi="仿宋" w:eastAsia="仿宋" w:cs="仿宋"/>
          <w:b/>
          <w:color w:val="auto"/>
          <w:sz w:val="28"/>
          <w:szCs w:val="28"/>
          <w:lang w:eastAsia="zh-CN"/>
        </w:rPr>
        <w:t>崇阳县教育局(汇总)2022</w:t>
      </w:r>
      <w:r>
        <w:rPr>
          <w:rFonts w:hint="eastAsia" w:ascii="仿宋" w:hAnsi="仿宋" w:eastAsia="仿宋" w:cs="仿宋"/>
          <w:b/>
          <w:color w:val="auto"/>
          <w:sz w:val="28"/>
          <w:szCs w:val="28"/>
        </w:rPr>
        <w:t>年度部门决算表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一、收入支出决算总表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二、收入决算表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三、支出决算表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四、财政拨款收入支出决算总表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五、一般公共预算财政拨款支出决算表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六、一般公共预算财政拨款基本支出决算</w:t>
      </w:r>
      <w:r>
        <w:rPr>
          <w:rFonts w:hint="eastAsia" w:ascii="仿宋" w:hAnsi="仿宋" w:eastAsia="仿宋" w:cs="仿宋"/>
          <w:color w:val="auto"/>
          <w:sz w:val="28"/>
          <w:szCs w:val="28"/>
          <w:lang w:val="en-US" w:eastAsia="zh-CN"/>
        </w:rPr>
        <w:t>明细</w:t>
      </w:r>
      <w:r>
        <w:rPr>
          <w:rFonts w:hint="eastAsia" w:ascii="仿宋" w:hAnsi="仿宋" w:eastAsia="仿宋" w:cs="仿宋"/>
          <w:color w:val="auto"/>
          <w:sz w:val="28"/>
          <w:szCs w:val="28"/>
        </w:rPr>
        <w:t>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七</w:t>
      </w:r>
      <w:r>
        <w:rPr>
          <w:rFonts w:hint="eastAsia" w:ascii="仿宋" w:hAnsi="仿宋" w:eastAsia="仿宋" w:cs="仿宋"/>
          <w:color w:val="auto"/>
          <w:sz w:val="28"/>
          <w:szCs w:val="28"/>
        </w:rPr>
        <w:t>、政府性基金预算财政拨款收入支出决算表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八、国有资本经营预算财政拨款支出决算表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九</w:t>
      </w:r>
      <w:r>
        <w:rPr>
          <w:rFonts w:hint="eastAsia" w:ascii="仿宋" w:hAnsi="仿宋" w:eastAsia="仿宋" w:cs="仿宋"/>
          <w:color w:val="auto"/>
          <w:sz w:val="28"/>
          <w:szCs w:val="28"/>
        </w:rPr>
        <w:t>、财政拨款“三公”经费支出决算表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第三部分</w:t>
      </w:r>
      <w:r>
        <w:rPr>
          <w:rFonts w:hint="eastAsia" w:ascii="仿宋" w:hAnsi="仿宋" w:eastAsia="仿宋" w:cs="仿宋"/>
          <w:b/>
          <w:color w:val="auto"/>
          <w:sz w:val="28"/>
          <w:szCs w:val="28"/>
          <w:lang w:val="en-US" w:eastAsia="zh-CN"/>
        </w:rPr>
        <w:t xml:space="preserve"> </w:t>
      </w:r>
      <w:r>
        <w:rPr>
          <w:rFonts w:hint="eastAsia" w:ascii="仿宋" w:hAnsi="仿宋" w:eastAsia="仿宋" w:cs="仿宋"/>
          <w:b/>
          <w:color w:val="auto"/>
          <w:sz w:val="28"/>
          <w:szCs w:val="28"/>
          <w:lang w:eastAsia="zh-CN"/>
        </w:rPr>
        <w:t>崇阳县教育局(汇总)2022</w:t>
      </w:r>
      <w:r>
        <w:rPr>
          <w:rFonts w:hint="eastAsia" w:ascii="仿宋" w:hAnsi="仿宋" w:eastAsia="仿宋" w:cs="仿宋"/>
          <w:b/>
          <w:color w:val="auto"/>
          <w:sz w:val="28"/>
          <w:szCs w:val="28"/>
        </w:rPr>
        <w:t>年度部门决算情况说明</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一、收入支出决算总体情况说明</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二、收入决算情况说明</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三、支出决算情况说明</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四、财政拨款收入支出决算总体情况说明</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五、一般公共预算财政拨款支出情况说明</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六、一般公共预算财政拨款基本支出决算情况说明</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七</w:t>
      </w:r>
      <w:r>
        <w:rPr>
          <w:rFonts w:hint="eastAsia" w:ascii="仿宋" w:hAnsi="仿宋" w:eastAsia="仿宋" w:cs="仿宋"/>
          <w:color w:val="auto"/>
          <w:sz w:val="28"/>
          <w:szCs w:val="28"/>
        </w:rPr>
        <w:t>、政府性基金预算</w:t>
      </w:r>
      <w:r>
        <w:rPr>
          <w:rFonts w:hint="eastAsia" w:ascii="仿宋" w:hAnsi="仿宋" w:eastAsia="仿宋" w:cs="仿宋"/>
          <w:color w:val="auto"/>
          <w:sz w:val="28"/>
          <w:szCs w:val="28"/>
          <w:lang w:val="en-US" w:eastAsia="zh-CN"/>
        </w:rPr>
        <w:t>财政拨款</w:t>
      </w:r>
      <w:r>
        <w:rPr>
          <w:rFonts w:hint="eastAsia" w:ascii="仿宋" w:hAnsi="仿宋" w:eastAsia="仿宋" w:cs="仿宋"/>
          <w:color w:val="auto"/>
          <w:sz w:val="28"/>
          <w:szCs w:val="28"/>
        </w:rPr>
        <w:t>收入支出决算情况说明</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八</w:t>
      </w:r>
      <w:r>
        <w:rPr>
          <w:rFonts w:hint="eastAsia" w:ascii="仿宋" w:hAnsi="仿宋" w:eastAsia="仿宋" w:cs="仿宋"/>
          <w:color w:val="auto"/>
          <w:sz w:val="28"/>
          <w:szCs w:val="28"/>
          <w:lang w:eastAsia="zh-CN"/>
        </w:rPr>
        <w:t>、国有资本经营预算财政拨款支出决算情况说明</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九</w:t>
      </w:r>
      <w:r>
        <w:rPr>
          <w:rFonts w:hint="eastAsia" w:ascii="仿宋" w:hAnsi="仿宋" w:eastAsia="仿宋" w:cs="仿宋"/>
          <w:color w:val="auto"/>
          <w:sz w:val="28"/>
          <w:szCs w:val="28"/>
        </w:rPr>
        <w:t>、财政拨款“三公”经费支出决算情况说明</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lang w:val="en-US" w:eastAsia="zh-CN"/>
        </w:rPr>
        <w:t>十</w:t>
      </w:r>
      <w:r>
        <w:rPr>
          <w:rFonts w:hint="eastAsia" w:ascii="仿宋" w:hAnsi="仿宋" w:eastAsia="仿宋" w:cs="仿宋"/>
          <w:b w:val="0"/>
          <w:bCs w:val="0"/>
          <w:color w:val="auto"/>
          <w:sz w:val="28"/>
          <w:szCs w:val="28"/>
        </w:rPr>
        <w:t>、机关运行经费支出情况</w:t>
      </w:r>
      <w:r>
        <w:rPr>
          <w:rFonts w:hint="eastAsia" w:ascii="仿宋" w:hAnsi="仿宋" w:eastAsia="仿宋" w:cs="仿宋"/>
          <w:b w:val="0"/>
          <w:bCs w:val="0"/>
          <w:color w:val="auto"/>
          <w:sz w:val="28"/>
          <w:szCs w:val="28"/>
          <w:lang w:eastAsia="zh-CN"/>
        </w:rPr>
        <w:t>说明</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b w:val="0"/>
          <w:bCs w:val="0"/>
          <w:color w:val="auto"/>
          <w:sz w:val="28"/>
          <w:szCs w:val="28"/>
          <w:lang w:eastAsia="zh-CN"/>
        </w:rPr>
      </w:pPr>
      <w:r>
        <w:rPr>
          <w:rFonts w:hint="eastAsia" w:ascii="仿宋" w:hAnsi="仿宋" w:eastAsia="仿宋" w:cs="仿宋"/>
          <w:b w:val="0"/>
          <w:bCs w:val="0"/>
          <w:color w:val="auto"/>
          <w:sz w:val="28"/>
          <w:szCs w:val="28"/>
          <w:lang w:eastAsia="zh-CN"/>
        </w:rPr>
        <w:t>十</w:t>
      </w:r>
      <w:r>
        <w:rPr>
          <w:rFonts w:hint="eastAsia" w:ascii="仿宋" w:hAnsi="仿宋" w:eastAsia="仿宋" w:cs="仿宋"/>
          <w:b w:val="0"/>
          <w:bCs w:val="0"/>
          <w:color w:val="auto"/>
          <w:sz w:val="28"/>
          <w:szCs w:val="28"/>
          <w:lang w:val="en-US" w:eastAsia="zh-CN"/>
        </w:rPr>
        <w:t>一</w:t>
      </w:r>
      <w:r>
        <w:rPr>
          <w:rFonts w:hint="eastAsia" w:ascii="仿宋" w:hAnsi="仿宋" w:eastAsia="仿宋" w:cs="仿宋"/>
          <w:b w:val="0"/>
          <w:bCs w:val="0"/>
          <w:color w:val="auto"/>
          <w:sz w:val="28"/>
          <w:szCs w:val="28"/>
          <w:lang w:eastAsia="zh-CN"/>
        </w:rPr>
        <w:t>、</w:t>
      </w:r>
      <w:r>
        <w:rPr>
          <w:rFonts w:hint="eastAsia" w:ascii="仿宋" w:hAnsi="仿宋" w:eastAsia="仿宋" w:cs="仿宋"/>
          <w:b w:val="0"/>
          <w:bCs w:val="0"/>
          <w:color w:val="auto"/>
          <w:sz w:val="28"/>
          <w:szCs w:val="28"/>
        </w:rPr>
        <w:t>政府采购支出情况</w:t>
      </w:r>
      <w:r>
        <w:rPr>
          <w:rFonts w:hint="eastAsia" w:ascii="仿宋" w:hAnsi="仿宋" w:eastAsia="仿宋" w:cs="仿宋"/>
          <w:b w:val="0"/>
          <w:bCs w:val="0"/>
          <w:color w:val="auto"/>
          <w:sz w:val="28"/>
          <w:szCs w:val="28"/>
          <w:lang w:eastAsia="zh-CN"/>
        </w:rPr>
        <w:t>说明</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exact"/>
        <w:textAlignment w:val="auto"/>
        <w:rPr>
          <w:rFonts w:hint="eastAsia" w:ascii="仿宋" w:hAnsi="仿宋" w:eastAsia="仿宋" w:cs="仿宋"/>
          <w:b w:val="0"/>
          <w:bCs w:val="0"/>
          <w:color w:val="auto"/>
          <w:sz w:val="28"/>
          <w:szCs w:val="28"/>
          <w:lang w:eastAsia="zh-CN"/>
        </w:rPr>
      </w:pPr>
      <w:r>
        <w:rPr>
          <w:rFonts w:hint="eastAsia" w:ascii="仿宋" w:hAnsi="仿宋" w:eastAsia="仿宋" w:cs="仿宋"/>
          <w:b w:val="0"/>
          <w:bCs w:val="0"/>
          <w:color w:val="auto"/>
          <w:sz w:val="28"/>
          <w:szCs w:val="28"/>
          <w:lang w:eastAsia="zh-CN"/>
        </w:rPr>
        <w:t>十</w:t>
      </w:r>
      <w:r>
        <w:rPr>
          <w:rFonts w:hint="eastAsia" w:ascii="仿宋" w:hAnsi="仿宋" w:eastAsia="仿宋" w:cs="仿宋"/>
          <w:b w:val="0"/>
          <w:bCs w:val="0"/>
          <w:color w:val="auto"/>
          <w:sz w:val="28"/>
          <w:szCs w:val="28"/>
          <w:lang w:val="en-US" w:eastAsia="zh-CN"/>
        </w:rPr>
        <w:t>二</w:t>
      </w:r>
      <w:r>
        <w:rPr>
          <w:rFonts w:hint="eastAsia" w:ascii="仿宋" w:hAnsi="仿宋" w:eastAsia="仿宋" w:cs="仿宋"/>
          <w:b w:val="0"/>
          <w:bCs w:val="0"/>
          <w:color w:val="auto"/>
          <w:sz w:val="28"/>
          <w:szCs w:val="28"/>
          <w:lang w:eastAsia="zh-CN"/>
        </w:rPr>
        <w:t>、国有资产占用情况说明</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exact"/>
        <w:textAlignment w:val="auto"/>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lang w:eastAsia="zh-CN"/>
        </w:rPr>
        <w:t>十</w:t>
      </w:r>
      <w:r>
        <w:rPr>
          <w:rFonts w:hint="eastAsia" w:ascii="仿宋" w:hAnsi="仿宋" w:eastAsia="仿宋" w:cs="仿宋"/>
          <w:b w:val="0"/>
          <w:bCs/>
          <w:color w:val="auto"/>
          <w:sz w:val="28"/>
          <w:szCs w:val="28"/>
          <w:lang w:val="en-US" w:eastAsia="zh-CN"/>
        </w:rPr>
        <w:t>三</w:t>
      </w:r>
      <w:r>
        <w:rPr>
          <w:rFonts w:hint="eastAsia" w:ascii="仿宋" w:hAnsi="仿宋" w:eastAsia="仿宋" w:cs="仿宋"/>
          <w:b w:val="0"/>
          <w:bCs/>
          <w:color w:val="auto"/>
          <w:sz w:val="28"/>
          <w:szCs w:val="28"/>
        </w:rPr>
        <w:t>、预算绩效情况说明</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exact"/>
        <w:textAlignment w:val="auto"/>
        <w:rPr>
          <w:rFonts w:hint="default"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eastAsia="zh-CN"/>
        </w:rPr>
        <w:t>十</w:t>
      </w:r>
      <w:r>
        <w:rPr>
          <w:rFonts w:hint="eastAsia" w:ascii="仿宋" w:hAnsi="仿宋" w:eastAsia="仿宋" w:cs="仿宋"/>
          <w:b w:val="0"/>
          <w:bCs/>
          <w:color w:val="auto"/>
          <w:sz w:val="28"/>
          <w:szCs w:val="28"/>
          <w:lang w:val="en-US" w:eastAsia="zh-CN"/>
        </w:rPr>
        <w:t>四</w:t>
      </w:r>
      <w:r>
        <w:rPr>
          <w:rFonts w:hint="eastAsia" w:ascii="仿宋" w:hAnsi="仿宋" w:eastAsia="仿宋" w:cs="仿宋"/>
          <w:b w:val="0"/>
          <w:bCs/>
          <w:color w:val="auto"/>
          <w:sz w:val="28"/>
          <w:szCs w:val="28"/>
        </w:rPr>
        <w:t>、</w:t>
      </w:r>
      <w:r>
        <w:rPr>
          <w:rFonts w:hint="eastAsia" w:ascii="仿宋" w:hAnsi="仿宋" w:eastAsia="仿宋" w:cs="仿宋"/>
          <w:b w:val="0"/>
          <w:bCs/>
          <w:color w:val="auto"/>
          <w:sz w:val="28"/>
          <w:szCs w:val="28"/>
          <w:lang w:val="en-US" w:eastAsia="zh-CN"/>
        </w:rPr>
        <w:t>专项支出、转移支付支出情况表</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exact"/>
        <w:textAlignment w:val="auto"/>
        <w:rPr>
          <w:rFonts w:hint="default" w:ascii="仿宋" w:hAnsi="仿宋" w:eastAsia="仿宋" w:cs="仿宋"/>
          <w:b w:val="0"/>
          <w:bCs/>
          <w:color w:val="auto"/>
          <w:sz w:val="28"/>
          <w:szCs w:val="28"/>
          <w:lang w:val="en-US"/>
        </w:rPr>
      </w:pPr>
      <w:r>
        <w:rPr>
          <w:rFonts w:hint="eastAsia" w:ascii="仿宋" w:hAnsi="仿宋" w:eastAsia="仿宋" w:cs="仿宋"/>
          <w:b/>
          <w:bCs/>
          <w:color w:val="auto"/>
          <w:sz w:val="28"/>
          <w:szCs w:val="28"/>
          <w:lang w:val="en-US" w:eastAsia="zh-CN"/>
        </w:rPr>
        <w:t>第四部分 其他需要说明的情况</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exact"/>
        <w:textAlignment w:val="auto"/>
        <w:rPr>
          <w:rFonts w:hint="eastAsia"/>
          <w:color w:val="auto"/>
        </w:rPr>
      </w:pPr>
      <w:r>
        <w:rPr>
          <w:rFonts w:hint="eastAsia" w:ascii="仿宋" w:hAnsi="仿宋" w:eastAsia="仿宋" w:cs="仿宋"/>
          <w:b/>
          <w:bCs/>
          <w:color w:val="auto"/>
          <w:sz w:val="28"/>
          <w:szCs w:val="28"/>
          <w:lang w:val="en-US" w:eastAsia="zh-CN"/>
        </w:rPr>
        <w:t>第五部分 名词解释</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rPr>
      </w:pPr>
      <w:r>
        <w:rPr>
          <w:rFonts w:hint="eastAsia" w:ascii="仿宋" w:hAnsi="仿宋" w:eastAsia="仿宋" w:cs="仿宋"/>
          <w:b/>
          <w:bCs/>
          <w:color w:val="auto"/>
          <w:sz w:val="28"/>
          <w:szCs w:val="28"/>
          <w:lang w:val="en-US" w:eastAsia="zh-CN"/>
        </w:rPr>
        <w:t>第六部分 附件</w:t>
      </w:r>
    </w:p>
    <w:p>
      <w:pPr>
        <w:keepNext w:val="0"/>
        <w:keepLines w:val="0"/>
        <w:pageBreakBefore w:val="0"/>
        <w:numPr>
          <w:ilvl w:val="0"/>
          <w:numId w:val="1"/>
        </w:numPr>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jc w:val="center"/>
        <w:textAlignment w:val="auto"/>
        <w:rPr>
          <w:rFonts w:hint="eastAsia" w:ascii="黑体" w:hAnsi="黑体" w:eastAsia="黑体" w:cs="黑体"/>
          <w:b/>
          <w:color w:val="auto"/>
          <w:sz w:val="44"/>
          <w:szCs w:val="44"/>
        </w:rPr>
      </w:pPr>
      <w:r>
        <w:rPr>
          <w:rFonts w:hint="eastAsia" w:ascii="黑体" w:hAnsi="黑体" w:eastAsia="黑体" w:cs="黑体"/>
          <w:b/>
          <w:color w:val="auto"/>
          <w:sz w:val="44"/>
          <w:szCs w:val="44"/>
          <w:lang w:eastAsia="zh-CN"/>
        </w:rPr>
        <w:t>崇阳县教育局(汇总)</w:t>
      </w:r>
      <w:r>
        <w:rPr>
          <w:rFonts w:hint="eastAsia" w:ascii="黑体" w:hAnsi="黑体" w:eastAsia="黑体" w:cs="黑体"/>
          <w:b/>
          <w:color w:val="auto"/>
          <w:sz w:val="44"/>
          <w:szCs w:val="44"/>
        </w:rPr>
        <w:t>概况</w:t>
      </w:r>
    </w:p>
    <w:p>
      <w:pPr>
        <w:keepNext w:val="0"/>
        <w:keepLines w:val="0"/>
        <w:pageBreakBefore w:val="0"/>
        <w:numPr>
          <w:ilvl w:val="0"/>
          <w:numId w:val="0"/>
        </w:numPr>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jc w:val="both"/>
        <w:textAlignment w:val="auto"/>
        <w:rPr>
          <w:rFonts w:hint="eastAsia" w:ascii="黑体" w:hAnsi="黑体" w:eastAsia="黑体" w:cs="黑体"/>
          <w:b/>
          <w:color w:val="auto"/>
          <w:sz w:val="44"/>
          <w:szCs w:val="44"/>
        </w:rPr>
      </w:pPr>
    </w:p>
    <w:p>
      <w:pPr>
        <w:keepNext w:val="0"/>
        <w:keepLines w:val="0"/>
        <w:pageBreakBefore w:val="0"/>
        <w:numPr>
          <w:ilvl w:val="0"/>
          <w:numId w:val="2"/>
        </w:numPr>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ascii="仿宋" w:hAnsi="仿宋" w:eastAsia="仿宋" w:cs="仿宋"/>
          <w:b/>
          <w:bCs/>
          <w:color w:val="auto"/>
          <w:sz w:val="32"/>
          <w:szCs w:val="32"/>
        </w:rPr>
      </w:pPr>
      <w:r>
        <w:rPr>
          <w:rFonts w:hint="eastAsia" w:ascii="仿宋" w:hAnsi="仿宋" w:eastAsia="仿宋" w:cs="仿宋"/>
          <w:b/>
          <w:bCs/>
          <w:color w:val="auto"/>
          <w:sz w:val="32"/>
          <w:szCs w:val="32"/>
          <w:lang w:val="en-US" w:eastAsia="zh-CN"/>
        </w:rPr>
        <w:t>部门</w:t>
      </w:r>
      <w:r>
        <w:rPr>
          <w:rFonts w:hint="eastAsia" w:ascii="仿宋" w:hAnsi="仿宋" w:eastAsia="仿宋" w:cs="仿宋"/>
          <w:b/>
          <w:bCs/>
          <w:color w:val="auto"/>
          <w:sz w:val="32"/>
          <w:szCs w:val="32"/>
        </w:rPr>
        <w:t>主要职能</w:t>
      </w:r>
    </w:p>
    <w:p>
      <w:pPr>
        <w:keepNext w:val="0"/>
        <w:keepLines w:val="0"/>
        <w:pageBreakBefore w:val="0"/>
        <w:kinsoku/>
        <w:wordWrap/>
        <w:overflowPunct/>
        <w:topLinePunct w:val="0"/>
        <w:autoSpaceDE/>
        <w:autoSpaceDN/>
        <w:bidi w:val="0"/>
        <w:adjustRightInd/>
        <w:snapToGrid/>
        <w:spacing w:line="240" w:lineRule="auto"/>
        <w:ind w:firstLine="640" w:firstLineChars="200"/>
        <w:jc w:val="both"/>
        <w:textAlignment w:val="auto"/>
        <w:outlineLvl w:val="9"/>
        <w:rPr>
          <w:rFonts w:hint="eastAsia" w:ascii="仿宋" w:hAnsi="仿宋" w:eastAsia="仿宋" w:cs="仿宋"/>
          <w:color w:val="auto"/>
          <w:sz w:val="32"/>
          <w:szCs w:val="32"/>
          <w:lang w:eastAsia="zh-CN"/>
        </w:rPr>
      </w:pPr>
      <w:r>
        <w:rPr>
          <w:rFonts w:hint="eastAsia" w:ascii="仿宋" w:hAnsi="仿宋" w:eastAsia="仿宋" w:cs="仿宋"/>
          <w:color w:val="auto"/>
          <w:sz w:val="32"/>
          <w:szCs w:val="32"/>
        </w:rPr>
        <w:t>1</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贯彻执行党和国家关于教育</w:t>
      </w:r>
      <w:r>
        <w:rPr>
          <w:rFonts w:hint="eastAsia" w:ascii="仿宋" w:hAnsi="仿宋" w:eastAsia="仿宋" w:cs="仿宋"/>
          <w:color w:val="auto"/>
          <w:sz w:val="32"/>
          <w:szCs w:val="32"/>
          <w:lang w:eastAsia="zh-CN"/>
        </w:rPr>
        <w:t>改革和发展</w:t>
      </w:r>
      <w:r>
        <w:rPr>
          <w:rFonts w:hint="eastAsia" w:ascii="仿宋" w:hAnsi="仿宋" w:eastAsia="仿宋" w:cs="仿宋"/>
          <w:color w:val="auto"/>
          <w:sz w:val="32"/>
          <w:szCs w:val="32"/>
        </w:rPr>
        <w:t>的各项方针、政策、法律、法规。</w:t>
      </w:r>
    </w:p>
    <w:p>
      <w:pPr>
        <w:keepNext w:val="0"/>
        <w:keepLines w:val="0"/>
        <w:pageBreakBefore w:val="0"/>
        <w:kinsoku/>
        <w:wordWrap/>
        <w:overflowPunct/>
        <w:topLinePunct w:val="0"/>
        <w:autoSpaceDE/>
        <w:autoSpaceDN/>
        <w:bidi w:val="0"/>
        <w:adjustRightInd/>
        <w:snapToGrid/>
        <w:spacing w:line="240" w:lineRule="auto"/>
        <w:ind w:firstLine="640" w:firstLineChars="200"/>
        <w:jc w:val="both"/>
        <w:textAlignment w:val="auto"/>
        <w:outlineLvl w:val="9"/>
        <w:rPr>
          <w:rFonts w:hint="eastAsia" w:ascii="仿宋" w:hAnsi="仿宋" w:eastAsia="仿宋" w:cs="仿宋"/>
          <w:color w:val="auto"/>
          <w:sz w:val="32"/>
          <w:szCs w:val="32"/>
          <w:lang w:eastAsia="zh-CN"/>
        </w:rPr>
      </w:pPr>
      <w:r>
        <w:rPr>
          <w:rFonts w:hint="eastAsia" w:ascii="仿宋" w:hAnsi="仿宋" w:eastAsia="仿宋" w:cs="仿宋"/>
          <w:color w:val="auto"/>
          <w:sz w:val="32"/>
          <w:szCs w:val="32"/>
        </w:rPr>
        <w:t>2</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编制全县教育事业发展规划并组织实施，统筹规划、指导协调全县教育、教学改革。</w:t>
      </w:r>
    </w:p>
    <w:p>
      <w:pPr>
        <w:keepNext w:val="0"/>
        <w:keepLines w:val="0"/>
        <w:pageBreakBefore w:val="0"/>
        <w:kinsoku/>
        <w:wordWrap/>
        <w:overflowPunct/>
        <w:topLinePunct w:val="0"/>
        <w:autoSpaceDE/>
        <w:autoSpaceDN/>
        <w:bidi w:val="0"/>
        <w:adjustRightInd/>
        <w:snapToGrid/>
        <w:spacing w:line="240" w:lineRule="auto"/>
        <w:ind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3</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统筹管理本部门教育经费；参与拟定统筹教育经费、教育拨款、教育基建投资的办法和方案；监督全县教育经费的筹措和使用情况；组织指导资助贫困家庭学生工作。</w:t>
      </w:r>
    </w:p>
    <w:p>
      <w:pPr>
        <w:keepNext w:val="0"/>
        <w:keepLines w:val="0"/>
        <w:pageBreakBefore w:val="0"/>
        <w:kinsoku/>
        <w:wordWrap/>
        <w:overflowPunct/>
        <w:topLinePunct w:val="0"/>
        <w:autoSpaceDE/>
        <w:autoSpaceDN/>
        <w:bidi w:val="0"/>
        <w:adjustRightInd/>
        <w:snapToGrid/>
        <w:spacing w:line="240" w:lineRule="auto"/>
        <w:ind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4</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负责推进义务教育均衡发展和促进教育公平，负责义务教育的宏观指导与协调；指导普通高中教育、幼儿教育、特殊教育工作，全面实施素质教育。</w:t>
      </w:r>
    </w:p>
    <w:p>
      <w:pPr>
        <w:keepNext w:val="0"/>
        <w:keepLines w:val="0"/>
        <w:pageBreakBefore w:val="0"/>
        <w:kinsoku/>
        <w:wordWrap/>
        <w:overflowPunct/>
        <w:topLinePunct w:val="0"/>
        <w:autoSpaceDE/>
        <w:autoSpaceDN/>
        <w:bidi w:val="0"/>
        <w:adjustRightInd/>
        <w:snapToGrid/>
        <w:spacing w:line="240" w:lineRule="auto"/>
        <w:ind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5</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督促实施全县中等和初等教育各类学校的办学标准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教学基本要求、教学基本文件；指导中等及中等以下各类学校的教育教学改革；开展对中等及中等以下学校的督导评估和检查验收工作；组织指导对基础教育发展水平、质量的监测工作。</w:t>
      </w:r>
    </w:p>
    <w:p>
      <w:pPr>
        <w:keepNext w:val="0"/>
        <w:keepLines w:val="0"/>
        <w:pageBreakBefore w:val="0"/>
        <w:kinsoku/>
        <w:wordWrap/>
        <w:overflowPunct/>
        <w:topLinePunct w:val="0"/>
        <w:autoSpaceDE/>
        <w:autoSpaceDN/>
        <w:bidi w:val="0"/>
        <w:adjustRightInd/>
        <w:snapToGrid/>
        <w:spacing w:line="240" w:lineRule="auto"/>
        <w:ind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6</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指导以就业为导向的职业教育的发展与改革；负责全县职业教育的统筹管理；指导中等职业教育教学改革；负责全县中等职业学校教学管理。</w:t>
      </w:r>
    </w:p>
    <w:p>
      <w:pPr>
        <w:keepNext w:val="0"/>
        <w:keepLines w:val="0"/>
        <w:pageBreakBefore w:val="0"/>
        <w:kinsoku/>
        <w:wordWrap/>
        <w:overflowPunct/>
        <w:topLinePunct w:val="0"/>
        <w:autoSpaceDE/>
        <w:autoSpaceDN/>
        <w:bidi w:val="0"/>
        <w:adjustRightInd/>
        <w:snapToGrid/>
        <w:spacing w:line="240" w:lineRule="auto"/>
        <w:ind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7</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规划指导</w:t>
      </w:r>
      <w:r>
        <w:rPr>
          <w:rFonts w:hint="eastAsia" w:ascii="仿宋" w:hAnsi="仿宋" w:eastAsia="仿宋" w:cs="仿宋"/>
          <w:color w:val="auto"/>
          <w:sz w:val="32"/>
          <w:szCs w:val="32"/>
          <w:lang w:eastAsia="zh-CN"/>
        </w:rPr>
        <w:t>全</w:t>
      </w:r>
      <w:r>
        <w:rPr>
          <w:rFonts w:hint="eastAsia" w:ascii="仿宋" w:hAnsi="仿宋" w:eastAsia="仿宋" w:cs="仿宋"/>
          <w:color w:val="auto"/>
          <w:sz w:val="32"/>
          <w:szCs w:val="32"/>
        </w:rPr>
        <w:t>县学校党建工作和指导全县中等职业学校、中小学校、幼儿机构思想政治教育工作、德育工作、体育卫生与艺术教育及国防教育工作；指导所属学校的综合治理、安全保卫和档案保密工作。</w:t>
      </w:r>
    </w:p>
    <w:p>
      <w:pPr>
        <w:keepNext w:val="0"/>
        <w:keepLines w:val="0"/>
        <w:pageBreakBefore w:val="0"/>
        <w:kinsoku/>
        <w:wordWrap/>
        <w:overflowPunct/>
        <w:topLinePunct w:val="0"/>
        <w:autoSpaceDE/>
        <w:autoSpaceDN/>
        <w:bidi w:val="0"/>
        <w:adjustRightInd/>
        <w:snapToGrid/>
        <w:spacing w:line="240" w:lineRule="auto"/>
        <w:ind w:firstLine="640" w:firstLineChars="200"/>
        <w:jc w:val="both"/>
        <w:textAlignment w:val="auto"/>
        <w:outlineLvl w:val="9"/>
        <w:rPr>
          <w:rFonts w:hint="eastAsia" w:ascii="仿宋" w:hAnsi="仿宋" w:eastAsia="仿宋" w:cs="仿宋"/>
          <w:color w:val="auto"/>
          <w:sz w:val="32"/>
          <w:szCs w:val="32"/>
          <w:lang w:eastAsia="zh-CN"/>
        </w:rPr>
      </w:pPr>
      <w:r>
        <w:rPr>
          <w:rFonts w:hint="eastAsia" w:ascii="仿宋" w:hAnsi="仿宋" w:eastAsia="仿宋" w:cs="仿宋"/>
          <w:color w:val="auto"/>
          <w:sz w:val="32"/>
          <w:szCs w:val="32"/>
        </w:rPr>
        <w:t>8</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指导全县教育系统人事制度改革工作，会同有关部门对全县高级中学校长的任用进行提名，参与考核推荐，按干部管理权限，任用所属初中、小学校长。</w:t>
      </w:r>
    </w:p>
    <w:p>
      <w:pPr>
        <w:keepNext w:val="0"/>
        <w:keepLines w:val="0"/>
        <w:pageBreakBefore w:val="0"/>
        <w:kinsoku/>
        <w:wordWrap/>
        <w:overflowPunct/>
        <w:topLinePunct w:val="0"/>
        <w:autoSpaceDE/>
        <w:autoSpaceDN/>
        <w:bidi w:val="0"/>
        <w:adjustRightInd/>
        <w:snapToGrid/>
        <w:spacing w:line="240" w:lineRule="auto"/>
        <w:ind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9</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主管全县教师工作；组织实施各级各类教师资格证书制度；统筹规划学校教师和管理人员队伍建设；指导和组织全县中小学教师继续教育、计算机信息技术培训和中小学校长岗位培训及提高培训工作，做好全县教师专业技术职务评聘工作；指导全县教育系统人才队伍建设。</w:t>
      </w:r>
    </w:p>
    <w:p>
      <w:pPr>
        <w:keepNext w:val="0"/>
        <w:keepLines w:val="0"/>
        <w:pageBreakBefore w:val="0"/>
        <w:kinsoku/>
        <w:wordWrap/>
        <w:overflowPunct/>
        <w:topLinePunct w:val="0"/>
        <w:autoSpaceDE/>
        <w:autoSpaceDN/>
        <w:bidi w:val="0"/>
        <w:adjustRightInd/>
        <w:snapToGrid/>
        <w:spacing w:line="240" w:lineRule="auto"/>
        <w:ind w:firstLine="640" w:firstLineChars="200"/>
        <w:jc w:val="both"/>
        <w:textAlignment w:val="auto"/>
        <w:outlineLvl w:val="9"/>
        <w:rPr>
          <w:rFonts w:hint="eastAsia" w:ascii="仿宋" w:hAnsi="仿宋" w:eastAsia="仿宋" w:cs="仿宋"/>
          <w:color w:val="auto"/>
          <w:sz w:val="32"/>
          <w:szCs w:val="32"/>
          <w:lang w:eastAsia="zh-CN"/>
        </w:rPr>
      </w:pPr>
      <w:r>
        <w:rPr>
          <w:rFonts w:hint="eastAsia" w:ascii="仿宋" w:hAnsi="仿宋" w:eastAsia="仿宋" w:cs="仿宋"/>
          <w:color w:val="auto"/>
          <w:sz w:val="32"/>
          <w:szCs w:val="32"/>
        </w:rPr>
        <w:t>10</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统筹管理全县各类学历教育的招生考试工作。会同有关部门编制并监督实施全县成人高校、中等职业学校的招生计划，组织协调招生管理工作。</w:t>
      </w:r>
    </w:p>
    <w:p>
      <w:pPr>
        <w:keepNext w:val="0"/>
        <w:keepLines w:val="0"/>
        <w:pageBreakBefore w:val="0"/>
        <w:kinsoku/>
        <w:wordWrap/>
        <w:overflowPunct/>
        <w:topLinePunct w:val="0"/>
        <w:autoSpaceDE/>
        <w:autoSpaceDN/>
        <w:bidi w:val="0"/>
        <w:adjustRightInd/>
        <w:snapToGrid/>
        <w:spacing w:line="240" w:lineRule="auto"/>
        <w:ind w:firstLine="640" w:firstLineChars="200"/>
        <w:jc w:val="both"/>
        <w:textAlignment w:val="auto"/>
        <w:outlineLvl w:val="9"/>
        <w:rPr>
          <w:rFonts w:hint="eastAsia" w:ascii="仿宋" w:hAnsi="仿宋" w:eastAsia="仿宋" w:cs="仿宋"/>
          <w:color w:val="auto"/>
          <w:sz w:val="32"/>
          <w:szCs w:val="32"/>
          <w:lang w:eastAsia="zh-CN"/>
        </w:rPr>
      </w:pPr>
      <w:r>
        <w:rPr>
          <w:rFonts w:hint="eastAsia" w:ascii="仿宋" w:hAnsi="仿宋" w:eastAsia="仿宋" w:cs="仿宋"/>
          <w:color w:val="auto"/>
          <w:sz w:val="32"/>
          <w:szCs w:val="32"/>
        </w:rPr>
        <w:t>11</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负责全县社会力量举办各级各类学校及托幼机构的评估、审批和管理工作。</w:t>
      </w:r>
    </w:p>
    <w:p>
      <w:pPr>
        <w:keepNext w:val="0"/>
        <w:keepLines w:val="0"/>
        <w:pageBreakBefore w:val="0"/>
        <w:kinsoku/>
        <w:wordWrap/>
        <w:overflowPunct/>
        <w:topLinePunct w:val="0"/>
        <w:autoSpaceDE/>
        <w:autoSpaceDN/>
        <w:bidi w:val="0"/>
        <w:adjustRightInd/>
        <w:snapToGrid/>
        <w:spacing w:line="240" w:lineRule="auto"/>
        <w:ind w:firstLine="640" w:firstLineChars="200"/>
        <w:jc w:val="both"/>
        <w:textAlignment w:val="auto"/>
        <w:outlineLvl w:val="9"/>
        <w:rPr>
          <w:rFonts w:hint="eastAsia" w:ascii="仿宋" w:hAnsi="仿宋" w:eastAsia="仿宋" w:cs="仿宋"/>
          <w:color w:val="auto"/>
          <w:sz w:val="32"/>
          <w:szCs w:val="32"/>
          <w:lang w:eastAsia="zh-CN"/>
        </w:rPr>
      </w:pPr>
      <w:r>
        <w:rPr>
          <w:rFonts w:hint="eastAsia" w:ascii="仿宋" w:hAnsi="仿宋" w:eastAsia="仿宋" w:cs="仿宋"/>
          <w:color w:val="auto"/>
          <w:sz w:val="32"/>
          <w:szCs w:val="32"/>
        </w:rPr>
        <w:t>12</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指导和管理全县教育系统的科学研究工作，负责教育系统信息化建设，组织协调中等职业学校的科技开发、科研成果转化和教育兴农工作。</w:t>
      </w:r>
    </w:p>
    <w:p>
      <w:pPr>
        <w:keepNext w:val="0"/>
        <w:keepLines w:val="0"/>
        <w:pageBreakBefore w:val="0"/>
        <w:kinsoku/>
        <w:wordWrap/>
        <w:overflowPunct/>
        <w:topLinePunct w:val="0"/>
        <w:autoSpaceDE/>
        <w:autoSpaceDN/>
        <w:bidi w:val="0"/>
        <w:adjustRightInd/>
        <w:snapToGrid/>
        <w:spacing w:line="240" w:lineRule="auto"/>
        <w:ind w:firstLine="640" w:firstLineChars="200"/>
        <w:jc w:val="both"/>
        <w:textAlignment w:val="auto"/>
        <w:outlineLvl w:val="9"/>
        <w:rPr>
          <w:rFonts w:hint="eastAsia" w:ascii="仿宋" w:hAnsi="仿宋" w:eastAsia="仿宋" w:cs="仿宋"/>
          <w:color w:val="auto"/>
          <w:sz w:val="32"/>
          <w:szCs w:val="32"/>
          <w:lang w:eastAsia="zh-CN"/>
        </w:rPr>
      </w:pPr>
      <w:r>
        <w:rPr>
          <w:rFonts w:hint="eastAsia" w:ascii="仿宋" w:hAnsi="仿宋" w:eastAsia="仿宋" w:cs="仿宋"/>
          <w:color w:val="auto"/>
          <w:sz w:val="32"/>
          <w:szCs w:val="32"/>
        </w:rPr>
        <w:t>13</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指导、协调全县各级各类学校的后勤工作校办产业和教育信息化建设、教学仪器设备和图书资料的装备工作；指导管理全县教育基本信息统计、分析、发布；承担教育督导的日常管理工作，指导有关的教育学会、协会、基金会工作。</w:t>
      </w:r>
    </w:p>
    <w:p>
      <w:pPr>
        <w:keepNext w:val="0"/>
        <w:keepLines w:val="0"/>
        <w:pageBreakBefore w:val="0"/>
        <w:kinsoku/>
        <w:wordWrap/>
        <w:overflowPunct/>
        <w:topLinePunct w:val="0"/>
        <w:autoSpaceDE/>
        <w:autoSpaceDN/>
        <w:bidi w:val="0"/>
        <w:adjustRightInd/>
        <w:snapToGrid/>
        <w:spacing w:line="240" w:lineRule="auto"/>
        <w:ind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14</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归口管理全县教育系统对外交流与合作工作。做好外国</w:t>
      </w:r>
      <w:r>
        <w:rPr>
          <w:rFonts w:hint="eastAsia" w:ascii="仿宋" w:hAnsi="仿宋" w:eastAsia="仿宋" w:cs="仿宋"/>
          <w:color w:val="auto"/>
          <w:sz w:val="32"/>
          <w:szCs w:val="32"/>
          <w:lang w:eastAsia="zh-CN"/>
        </w:rPr>
        <w:t>支</w:t>
      </w:r>
      <w:r>
        <w:rPr>
          <w:rFonts w:hint="eastAsia" w:ascii="仿宋" w:hAnsi="仿宋" w:eastAsia="仿宋" w:cs="仿宋"/>
          <w:color w:val="auto"/>
          <w:sz w:val="32"/>
          <w:szCs w:val="32"/>
        </w:rPr>
        <w:t>教专家、教师的有关管理工作，负责有关教育方面的出国（出境）人员的审查工作及教育对外交流工作。</w:t>
      </w:r>
    </w:p>
    <w:p>
      <w:pPr>
        <w:keepNext w:val="0"/>
        <w:keepLines w:val="0"/>
        <w:pageBreakBefore w:val="0"/>
        <w:kinsoku/>
        <w:wordWrap/>
        <w:overflowPunct/>
        <w:topLinePunct w:val="0"/>
        <w:autoSpaceDE/>
        <w:autoSpaceDN/>
        <w:bidi w:val="0"/>
        <w:adjustRightInd/>
        <w:snapToGrid/>
        <w:spacing w:line="240" w:lineRule="auto"/>
        <w:ind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15</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贯彻执行国家语言文字工作的方针、政策</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编制全县语言文字工作中长期规划；组织协调对语言文字的规范和标准的监督检查；指导和组织推广普通话工作。</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0" w:afterAutospacing="0" w:line="240" w:lineRule="auto"/>
        <w:ind w:left="0" w:right="0" w:firstLine="640" w:firstLineChars="200"/>
        <w:jc w:val="both"/>
        <w:textAlignment w:val="auto"/>
        <w:outlineLvl w:val="9"/>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16.</w:t>
      </w:r>
      <w:r>
        <w:rPr>
          <w:rFonts w:hint="default" w:ascii="仿宋" w:hAnsi="仿宋" w:eastAsia="仿宋" w:cs="仿宋"/>
          <w:color w:val="auto"/>
          <w:sz w:val="32"/>
          <w:szCs w:val="32"/>
          <w:lang w:val="en-US" w:eastAsia="zh-CN"/>
        </w:rPr>
        <w:t>加强基础教育工作，以农村教育为重点，推进义务教育均衡发展，促进公共教育资源进一步向农村地区倾斜，促进教育公平。深入推进基础教育教学改革，切实减轻中小学生的课业负担，加强中小学德育教育，全面实施素质教育。</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0" w:afterAutospacing="0" w:line="240" w:lineRule="auto"/>
        <w:ind w:left="0" w:right="0" w:firstLine="640" w:firstLineChars="200"/>
        <w:jc w:val="both"/>
        <w:textAlignment w:val="auto"/>
        <w:outlineLvl w:val="9"/>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17.</w:t>
      </w:r>
      <w:r>
        <w:rPr>
          <w:rFonts w:hint="default" w:ascii="仿宋" w:hAnsi="仿宋" w:eastAsia="仿宋" w:cs="仿宋"/>
          <w:color w:val="auto"/>
          <w:sz w:val="32"/>
          <w:szCs w:val="32"/>
          <w:lang w:val="en-US" w:eastAsia="zh-CN"/>
        </w:rPr>
        <w:t>大力发展职业教育，坚持以就业为导向，努力提高中等职业学校的办学水平和质量，积极推进体制机制创新，进一步增强职业教育发展的活力。</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0" w:afterAutospacing="0" w:line="240" w:lineRule="auto"/>
        <w:ind w:left="0" w:right="0" w:firstLine="640" w:firstLineChars="200"/>
        <w:jc w:val="both"/>
        <w:textAlignment w:val="auto"/>
        <w:outlineLvl w:val="9"/>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18、</w:t>
      </w:r>
      <w:r>
        <w:rPr>
          <w:rFonts w:hint="default" w:ascii="仿宋" w:hAnsi="仿宋" w:eastAsia="仿宋" w:cs="仿宋"/>
          <w:color w:val="auto"/>
          <w:sz w:val="32"/>
          <w:szCs w:val="32"/>
          <w:lang w:val="en-US" w:eastAsia="zh-CN"/>
        </w:rPr>
        <w:t>加强民办教育的管理和监督，完善民办教育管理的政策措施，规范办学秩序，促进民办教育事业健康发展。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0" w:afterAutospacing="0" w:line="240" w:lineRule="auto"/>
        <w:ind w:left="0" w:right="0" w:firstLine="640" w:firstLineChars="200"/>
        <w:jc w:val="both"/>
        <w:textAlignment w:val="auto"/>
        <w:outlineLvl w:val="9"/>
        <w:rPr>
          <w:rFonts w:hint="eastAsia" w:ascii="仿宋" w:hAnsi="仿宋" w:eastAsia="仿宋" w:cs="仿宋"/>
          <w:bCs/>
          <w:color w:val="auto"/>
          <w:sz w:val="32"/>
          <w:szCs w:val="32"/>
        </w:rPr>
      </w:pPr>
      <w:r>
        <w:rPr>
          <w:rFonts w:hint="eastAsia" w:ascii="仿宋" w:hAnsi="仿宋" w:eastAsia="仿宋" w:cs="仿宋"/>
          <w:color w:val="auto"/>
          <w:sz w:val="32"/>
          <w:szCs w:val="32"/>
          <w:lang w:val="en-US" w:eastAsia="zh-CN"/>
        </w:rPr>
        <w:t>19.</w:t>
      </w:r>
      <w:r>
        <w:rPr>
          <w:rFonts w:hint="eastAsia" w:ascii="仿宋" w:hAnsi="仿宋" w:eastAsia="仿宋" w:cs="仿宋"/>
          <w:color w:val="auto"/>
          <w:sz w:val="32"/>
          <w:szCs w:val="32"/>
        </w:rPr>
        <w:t>承办上级交办的其他</w:t>
      </w:r>
      <w:r>
        <w:rPr>
          <w:rFonts w:hint="eastAsia" w:ascii="仿宋" w:hAnsi="仿宋" w:eastAsia="仿宋" w:cs="仿宋"/>
          <w:color w:val="auto"/>
          <w:sz w:val="32"/>
          <w:szCs w:val="32"/>
          <w:lang w:eastAsia="zh-CN"/>
        </w:rPr>
        <w:t>任务</w:t>
      </w:r>
      <w:r>
        <w:rPr>
          <w:rFonts w:hint="eastAsia" w:ascii="仿宋" w:hAnsi="仿宋" w:eastAsia="仿宋" w:cs="仿宋"/>
          <w:color w:val="auto"/>
          <w:sz w:val="32"/>
          <w:szCs w:val="32"/>
        </w:rPr>
        <w:t>。</w:t>
      </w:r>
    </w:p>
    <w:p>
      <w:pPr>
        <w:numPr>
          <w:ilvl w:val="0"/>
          <w:numId w:val="3"/>
        </w:numPr>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lang w:eastAsia="zh-CN"/>
        </w:rPr>
        <w:t>机构设置</w:t>
      </w:r>
      <w:r>
        <w:rPr>
          <w:rFonts w:hint="eastAsia" w:ascii="仿宋" w:hAnsi="仿宋" w:eastAsia="仿宋" w:cs="仿宋"/>
          <w:b/>
          <w:bCs/>
          <w:color w:val="auto"/>
          <w:sz w:val="32"/>
          <w:szCs w:val="32"/>
          <w:lang w:val="en-US" w:eastAsia="zh-CN"/>
        </w:rPr>
        <w:t>情况</w:t>
      </w:r>
    </w:p>
    <w:p>
      <w:pPr>
        <w:pStyle w:val="11"/>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教育局机关</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含办公室、行政审批股、人事股、计划财务股、教育股、教师管理股、体育卫生艺术股、教育督导股、幼儿教育股、离退休教师管理股</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管委会、</w:t>
      </w:r>
      <w:r>
        <w:rPr>
          <w:rFonts w:hint="eastAsia" w:ascii="仿宋" w:hAnsi="仿宋" w:eastAsia="仿宋" w:cs="仿宋"/>
          <w:color w:val="auto"/>
          <w:sz w:val="32"/>
          <w:szCs w:val="32"/>
        </w:rPr>
        <w:t>高等学校招生委员会办公室、教学研究室、会计核算中心、教育技术装备站、学生资助管理中心、</w:t>
      </w:r>
      <w:r>
        <w:rPr>
          <w:rFonts w:hint="eastAsia" w:ascii="仿宋" w:hAnsi="仿宋" w:eastAsia="仿宋" w:cs="仿宋"/>
          <w:color w:val="auto"/>
          <w:sz w:val="32"/>
          <w:szCs w:val="32"/>
          <w:lang w:val="en-US" w:eastAsia="zh-CN"/>
        </w:rPr>
        <w:t>中小学校后勤工作办公室</w:t>
      </w:r>
      <w:r>
        <w:rPr>
          <w:rFonts w:hint="eastAsia" w:ascii="仿宋" w:hAnsi="仿宋" w:eastAsia="仿宋" w:cs="仿宋"/>
          <w:color w:val="auto"/>
          <w:sz w:val="32"/>
          <w:szCs w:val="32"/>
        </w:rPr>
        <w:t>、青少年校外活动中心、</w:t>
      </w:r>
      <w:r>
        <w:rPr>
          <w:rFonts w:hint="eastAsia" w:ascii="仿宋" w:hAnsi="仿宋" w:eastAsia="仿宋" w:cs="仿宋"/>
          <w:color w:val="auto"/>
          <w:sz w:val="32"/>
          <w:szCs w:val="32"/>
          <w:lang w:val="en-US" w:eastAsia="zh-CN"/>
        </w:rPr>
        <w:t>校安办、联校网教协同中心、</w:t>
      </w:r>
      <w:r>
        <w:rPr>
          <w:rFonts w:hint="eastAsia" w:ascii="仿宋" w:hAnsi="仿宋" w:eastAsia="仿宋" w:cs="仿宋"/>
          <w:color w:val="auto"/>
          <w:sz w:val="32"/>
          <w:szCs w:val="32"/>
        </w:rPr>
        <w:t>职业教育中心、职业技术学校、崇阳一中、</w:t>
      </w:r>
      <w:r>
        <w:rPr>
          <w:rFonts w:hint="eastAsia" w:ascii="仿宋" w:hAnsi="仿宋" w:eastAsia="仿宋" w:cs="仿宋"/>
          <w:color w:val="auto"/>
          <w:sz w:val="32"/>
          <w:szCs w:val="32"/>
          <w:lang w:val="en-US" w:eastAsia="zh-CN"/>
        </w:rPr>
        <w:t>崇阳二小、</w:t>
      </w:r>
      <w:r>
        <w:rPr>
          <w:rFonts w:hint="eastAsia" w:ascii="仿宋" w:hAnsi="仿宋" w:eastAsia="仿宋" w:cs="仿宋"/>
          <w:color w:val="auto"/>
          <w:sz w:val="32"/>
          <w:szCs w:val="32"/>
        </w:rPr>
        <w:t>特殊教育学校、初中1</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所、小学73所、公办幼儿园3</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所。</w:t>
      </w:r>
    </w:p>
    <w:p>
      <w:pPr>
        <w:numPr>
          <w:ilvl w:val="0"/>
          <w:numId w:val="3"/>
        </w:numPr>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lang w:eastAsia="zh-CN"/>
        </w:rPr>
        <w:t>人员情况</w:t>
      </w:r>
    </w:p>
    <w:p>
      <w:pPr>
        <w:spacing w:line="240"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教育</w:t>
      </w:r>
      <w:r>
        <w:rPr>
          <w:rFonts w:hint="eastAsia" w:ascii="仿宋" w:hAnsi="仿宋" w:eastAsia="仿宋" w:cs="仿宋"/>
          <w:color w:val="auto"/>
          <w:sz w:val="32"/>
          <w:szCs w:val="32"/>
        </w:rPr>
        <w:t>局</w:t>
      </w:r>
      <w:r>
        <w:rPr>
          <w:rFonts w:hint="eastAsia" w:ascii="仿宋" w:hAnsi="仿宋" w:eastAsia="仿宋" w:cs="仿宋"/>
          <w:color w:val="auto"/>
          <w:sz w:val="32"/>
          <w:szCs w:val="32"/>
          <w:lang w:val="en-US" w:eastAsia="zh-CN"/>
        </w:rPr>
        <w:t>机关</w:t>
      </w:r>
      <w:r>
        <w:rPr>
          <w:rFonts w:hint="eastAsia" w:ascii="仿宋" w:hAnsi="仿宋" w:eastAsia="仿宋" w:cs="仿宋"/>
          <w:color w:val="auto"/>
          <w:sz w:val="32"/>
          <w:szCs w:val="32"/>
        </w:rPr>
        <w:t>核定行政编制</w:t>
      </w:r>
      <w:r>
        <w:rPr>
          <w:rFonts w:hint="eastAsia" w:ascii="仿宋" w:hAnsi="仿宋" w:eastAsia="仿宋" w:cs="仿宋"/>
          <w:color w:val="auto"/>
          <w:sz w:val="32"/>
          <w:szCs w:val="32"/>
          <w:lang w:val="en-US" w:eastAsia="zh-CN"/>
        </w:rPr>
        <w:t>23</w:t>
      </w:r>
      <w:r>
        <w:rPr>
          <w:rFonts w:hint="eastAsia" w:ascii="仿宋" w:hAnsi="仿宋" w:eastAsia="仿宋" w:cs="仿宋"/>
          <w:color w:val="auto"/>
          <w:sz w:val="32"/>
          <w:szCs w:val="32"/>
        </w:rPr>
        <w:t>人，工勤编制</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人。</w:t>
      </w:r>
      <w:r>
        <w:rPr>
          <w:rFonts w:hint="eastAsia" w:ascii="仿宋" w:hAnsi="仿宋" w:eastAsia="仿宋" w:cs="仿宋"/>
          <w:color w:val="auto"/>
          <w:sz w:val="32"/>
          <w:szCs w:val="32"/>
          <w:lang w:val="en-US" w:eastAsia="zh-CN"/>
        </w:rPr>
        <w:t>全系统</w:t>
      </w:r>
      <w:r>
        <w:rPr>
          <w:rFonts w:hint="eastAsia" w:ascii="仿宋" w:hAnsi="仿宋" w:eastAsia="仿宋" w:cs="仿宋"/>
          <w:color w:val="auto"/>
          <w:sz w:val="32"/>
          <w:szCs w:val="32"/>
        </w:rPr>
        <w:t>现有在职人数</w:t>
      </w:r>
      <w:r>
        <w:rPr>
          <w:rFonts w:hint="eastAsia" w:ascii="仿宋" w:hAnsi="仿宋" w:eastAsia="仿宋" w:cs="仿宋"/>
          <w:color w:val="auto"/>
          <w:sz w:val="32"/>
          <w:szCs w:val="32"/>
          <w:lang w:val="en-US" w:eastAsia="zh-CN"/>
        </w:rPr>
        <w:t>3626</w:t>
      </w:r>
      <w:r>
        <w:rPr>
          <w:rFonts w:hint="eastAsia" w:ascii="仿宋" w:hAnsi="仿宋" w:eastAsia="仿宋" w:cs="仿宋"/>
          <w:color w:val="auto"/>
          <w:sz w:val="32"/>
          <w:szCs w:val="32"/>
        </w:rPr>
        <w:t>人，离休人员</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rPr>
        <w:t>人，退休人员</w:t>
      </w:r>
      <w:r>
        <w:rPr>
          <w:rFonts w:hint="eastAsia" w:ascii="仿宋" w:hAnsi="仿宋" w:eastAsia="仿宋" w:cs="仿宋"/>
          <w:color w:val="auto"/>
          <w:sz w:val="32"/>
          <w:szCs w:val="32"/>
          <w:lang w:val="en-US" w:eastAsia="zh-CN"/>
        </w:rPr>
        <w:t>2172</w:t>
      </w:r>
      <w:r>
        <w:rPr>
          <w:rFonts w:hint="eastAsia" w:ascii="仿宋" w:hAnsi="仿宋" w:eastAsia="仿宋" w:cs="仿宋"/>
          <w:color w:val="auto"/>
          <w:sz w:val="32"/>
          <w:szCs w:val="32"/>
        </w:rPr>
        <w:t>人，民师退养</w:t>
      </w:r>
      <w:r>
        <w:rPr>
          <w:rFonts w:hint="eastAsia" w:ascii="仿宋" w:hAnsi="仿宋" w:eastAsia="仿宋" w:cs="仿宋"/>
          <w:color w:val="auto"/>
          <w:sz w:val="32"/>
          <w:szCs w:val="32"/>
          <w:lang w:val="en-US" w:eastAsia="zh-CN"/>
        </w:rPr>
        <w:t>34</w:t>
      </w:r>
      <w:r>
        <w:rPr>
          <w:rFonts w:hint="eastAsia" w:ascii="仿宋" w:hAnsi="仿宋" w:eastAsia="仿宋" w:cs="仿宋"/>
          <w:color w:val="auto"/>
          <w:sz w:val="32"/>
          <w:szCs w:val="32"/>
        </w:rPr>
        <w:t>人，遗属补助</w:t>
      </w:r>
      <w:r>
        <w:rPr>
          <w:rFonts w:hint="eastAsia" w:ascii="仿宋" w:hAnsi="仿宋" w:eastAsia="仿宋" w:cs="仿宋"/>
          <w:color w:val="auto"/>
          <w:sz w:val="32"/>
          <w:szCs w:val="32"/>
          <w:lang w:val="en-US" w:eastAsia="zh-CN"/>
        </w:rPr>
        <w:t>496</w:t>
      </w:r>
      <w:r>
        <w:rPr>
          <w:rFonts w:hint="eastAsia" w:ascii="仿宋" w:hAnsi="仿宋" w:eastAsia="仿宋" w:cs="仿宋"/>
          <w:color w:val="auto"/>
          <w:sz w:val="32"/>
          <w:szCs w:val="32"/>
        </w:rPr>
        <w:t>人</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其他人员</w:t>
      </w:r>
      <w:r>
        <w:rPr>
          <w:rFonts w:hint="eastAsia" w:ascii="仿宋" w:hAnsi="仿宋" w:eastAsia="仿宋" w:cs="仿宋"/>
          <w:color w:val="auto"/>
          <w:sz w:val="32"/>
          <w:szCs w:val="32"/>
          <w:lang w:val="en-US" w:eastAsia="zh-CN"/>
        </w:rPr>
        <w:t>316</w:t>
      </w:r>
      <w:r>
        <w:rPr>
          <w:rFonts w:hint="eastAsia" w:ascii="仿宋" w:hAnsi="仿宋" w:eastAsia="仿宋" w:cs="仿宋"/>
          <w:color w:val="auto"/>
          <w:sz w:val="32"/>
          <w:szCs w:val="32"/>
        </w:rPr>
        <w:t>人。在校学生</w:t>
      </w:r>
      <w:r>
        <w:rPr>
          <w:rFonts w:hint="eastAsia" w:ascii="仿宋" w:hAnsi="仿宋" w:eastAsia="仿宋" w:cs="仿宋"/>
          <w:color w:val="auto"/>
          <w:sz w:val="32"/>
          <w:szCs w:val="32"/>
          <w:lang w:val="en-US" w:eastAsia="zh-CN"/>
        </w:rPr>
        <w:t>74162</w:t>
      </w:r>
      <w:r>
        <w:rPr>
          <w:rFonts w:hint="eastAsia" w:ascii="仿宋" w:hAnsi="仿宋" w:eastAsia="仿宋" w:cs="仿宋"/>
          <w:color w:val="auto"/>
          <w:sz w:val="32"/>
          <w:szCs w:val="32"/>
        </w:rPr>
        <w:t>人</w:t>
      </w:r>
      <w:r>
        <w:rPr>
          <w:rFonts w:hint="eastAsia" w:ascii="仿宋" w:hAnsi="仿宋" w:eastAsia="仿宋" w:cs="仿宋"/>
          <w:color w:val="auto"/>
          <w:sz w:val="32"/>
          <w:szCs w:val="32"/>
          <w:lang w:eastAsia="zh-CN"/>
        </w:rPr>
        <w:t>，其中小学</w:t>
      </w:r>
      <w:r>
        <w:rPr>
          <w:rFonts w:hint="eastAsia" w:ascii="仿宋" w:hAnsi="仿宋" w:eastAsia="仿宋" w:cs="仿宋"/>
          <w:color w:val="auto"/>
          <w:sz w:val="32"/>
          <w:szCs w:val="32"/>
          <w:lang w:val="en-US" w:eastAsia="zh-CN"/>
        </w:rPr>
        <w:t>39280人，初中20238人，高中10315人，中职4257人，特殊教育72人</w:t>
      </w:r>
      <w:r>
        <w:rPr>
          <w:rFonts w:hint="eastAsia" w:ascii="仿宋" w:hAnsi="仿宋" w:eastAsia="仿宋" w:cs="仿宋"/>
          <w:color w:val="auto"/>
          <w:sz w:val="32"/>
          <w:szCs w:val="32"/>
        </w:rPr>
        <w:t>。</w:t>
      </w:r>
    </w:p>
    <w:p>
      <w:pPr>
        <w:rPr>
          <w:rFonts w:hint="eastAsia" w:ascii="仿宋" w:hAnsi="仿宋" w:eastAsia="仿宋" w:cs="仿宋"/>
          <w:b/>
          <w:bCs/>
          <w:color w:val="auto"/>
          <w:sz w:val="32"/>
          <w:szCs w:val="32"/>
        </w:rPr>
      </w:pPr>
      <w:r>
        <w:rPr>
          <w:rFonts w:hint="eastAsia" w:ascii="仿宋" w:hAnsi="仿宋" w:eastAsia="仿宋" w:cs="仿宋"/>
          <w:b/>
          <w:bCs/>
          <w:color w:val="auto"/>
          <w:sz w:val="32"/>
          <w:szCs w:val="32"/>
          <w:lang w:eastAsia="zh-CN"/>
        </w:rPr>
        <w:t>四</w:t>
      </w:r>
      <w:r>
        <w:rPr>
          <w:rFonts w:hint="eastAsia" w:ascii="仿宋" w:hAnsi="仿宋" w:eastAsia="仿宋" w:cs="仿宋"/>
          <w:b/>
          <w:bCs/>
          <w:color w:val="auto"/>
          <w:sz w:val="32"/>
          <w:szCs w:val="32"/>
        </w:rPr>
        <w:t>、部门决算汇编范围</w:t>
      </w:r>
    </w:p>
    <w:p>
      <w:pPr>
        <w:spacing w:line="24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202</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年纳入崇阳县教育局部门决算汇编范围的收入和支出包括：</w:t>
      </w:r>
    </w:p>
    <w:p>
      <w:pPr>
        <w:spacing w:line="240" w:lineRule="auto"/>
        <w:ind w:firstLine="640" w:firstLineChars="200"/>
        <w:rPr>
          <w:rFonts w:hint="eastAsia" w:ascii="仿宋" w:hAnsi="仿宋" w:eastAsia="仿宋" w:cs="仿宋"/>
          <w:color w:val="auto"/>
          <w:spacing w:val="-20"/>
          <w:sz w:val="32"/>
          <w:szCs w:val="32"/>
        </w:rPr>
      </w:pPr>
      <w:r>
        <w:rPr>
          <w:rFonts w:hint="eastAsia" w:ascii="仿宋" w:hAnsi="仿宋" w:eastAsia="仿宋" w:cs="仿宋"/>
          <w:color w:val="auto"/>
          <w:sz w:val="32"/>
          <w:szCs w:val="32"/>
        </w:rPr>
        <w:t>（一）</w:t>
      </w:r>
      <w:r>
        <w:rPr>
          <w:rFonts w:hint="eastAsia" w:ascii="仿宋" w:hAnsi="仿宋" w:eastAsia="仿宋" w:cs="仿宋"/>
          <w:color w:val="auto"/>
          <w:spacing w:val="-20"/>
          <w:sz w:val="32"/>
          <w:szCs w:val="32"/>
        </w:rPr>
        <w:t>行政单位的全部收入和支出。行政单位 1 家，为教育局。</w:t>
      </w:r>
    </w:p>
    <w:p>
      <w:pPr>
        <w:spacing w:line="240" w:lineRule="auto"/>
        <w:ind w:firstLine="640" w:firstLineChars="200"/>
        <w:rPr>
          <w:rFonts w:hint="eastAsia" w:ascii="仿宋" w:hAnsi="仿宋" w:eastAsia="仿宋" w:cs="仿宋"/>
          <w:color w:val="auto"/>
          <w:sz w:val="28"/>
          <w:szCs w:val="28"/>
        </w:rPr>
      </w:pPr>
      <w:r>
        <w:rPr>
          <w:rFonts w:hint="eastAsia" w:ascii="仿宋" w:hAnsi="仿宋" w:eastAsia="仿宋" w:cs="仿宋"/>
          <w:color w:val="auto"/>
          <w:sz w:val="32"/>
          <w:szCs w:val="32"/>
        </w:rPr>
        <w:t>（二）事业单位的全部收入和支出。事业单位包括了崇阳县第一中学等</w:t>
      </w:r>
      <w:r>
        <w:rPr>
          <w:rFonts w:hint="eastAsia" w:ascii="仿宋" w:hAnsi="仿宋" w:eastAsia="仿宋" w:cs="仿宋"/>
          <w:color w:val="auto"/>
          <w:sz w:val="32"/>
          <w:szCs w:val="32"/>
          <w:lang w:val="en-US" w:eastAsia="zh-CN"/>
        </w:rPr>
        <w:t>39</w:t>
      </w:r>
      <w:r>
        <w:rPr>
          <w:rFonts w:hint="eastAsia" w:ascii="仿宋" w:hAnsi="仿宋" w:eastAsia="仿宋" w:cs="仿宋"/>
          <w:color w:val="auto"/>
          <w:sz w:val="32"/>
          <w:szCs w:val="32"/>
        </w:rPr>
        <w:t>家财政全额拨款的事业单位。</w:t>
      </w:r>
    </w:p>
    <w:p>
      <w:pPr>
        <w:rPr>
          <w:rFonts w:hint="eastAsia" w:ascii="仿宋" w:hAnsi="仿宋" w:eastAsia="仿宋" w:cs="仿宋"/>
          <w:b/>
          <w:bCs/>
          <w:color w:val="auto"/>
          <w:sz w:val="32"/>
          <w:szCs w:val="32"/>
        </w:rPr>
      </w:pPr>
      <w:r>
        <w:rPr>
          <w:rFonts w:hint="eastAsia" w:ascii="仿宋" w:hAnsi="仿宋" w:eastAsia="仿宋" w:cs="仿宋"/>
          <w:b/>
          <w:bCs/>
          <w:color w:val="auto"/>
          <w:sz w:val="32"/>
          <w:szCs w:val="32"/>
          <w:lang w:eastAsia="zh-CN"/>
        </w:rPr>
        <w:t>五</w:t>
      </w:r>
      <w:r>
        <w:rPr>
          <w:rFonts w:hint="eastAsia" w:ascii="仿宋" w:hAnsi="仿宋" w:eastAsia="仿宋" w:cs="仿宋"/>
          <w:b/>
          <w:bCs/>
          <w:color w:val="auto"/>
          <w:sz w:val="32"/>
          <w:szCs w:val="32"/>
        </w:rPr>
        <w:t>、部门决算单位构成</w:t>
      </w:r>
    </w:p>
    <w:p>
      <w:pPr>
        <w:spacing w:line="24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202</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年，纳入我局决算的单位共</w:t>
      </w:r>
      <w:r>
        <w:rPr>
          <w:rFonts w:hint="eastAsia" w:ascii="仿宋" w:hAnsi="仿宋" w:eastAsia="仿宋" w:cs="仿宋"/>
          <w:color w:val="auto"/>
          <w:sz w:val="32"/>
          <w:szCs w:val="32"/>
          <w:lang w:val="en-US" w:eastAsia="zh-CN"/>
        </w:rPr>
        <w:t>40</w:t>
      </w:r>
      <w:r>
        <w:rPr>
          <w:rFonts w:hint="eastAsia" w:ascii="仿宋" w:hAnsi="仿宋" w:eastAsia="仿宋" w:cs="仿宋"/>
          <w:color w:val="auto"/>
          <w:sz w:val="32"/>
          <w:szCs w:val="32"/>
        </w:rPr>
        <w:t>个，其中：高中</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所，职教中心1所，中职学校1所，初中</w:t>
      </w: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所，县直小学7所，特殊教育学校1所，乡镇小学12所，</w:t>
      </w:r>
      <w:r>
        <w:rPr>
          <w:rFonts w:hint="eastAsia" w:ascii="仿宋" w:hAnsi="仿宋" w:eastAsia="仿宋" w:cs="仿宋"/>
          <w:color w:val="auto"/>
          <w:sz w:val="32"/>
          <w:szCs w:val="32"/>
          <w:lang w:val="en-US" w:eastAsia="zh-CN"/>
        </w:rPr>
        <w:t>幼儿园3所，</w:t>
      </w:r>
      <w:r>
        <w:rPr>
          <w:rFonts w:hint="eastAsia" w:ascii="仿宋" w:hAnsi="仿宋" w:eastAsia="仿宋" w:cs="仿宋"/>
          <w:color w:val="auto"/>
          <w:sz w:val="32"/>
          <w:szCs w:val="32"/>
        </w:rPr>
        <w:t>局机关二级单位1个；</w:t>
      </w:r>
    </w:p>
    <w:p>
      <w:pPr>
        <w:spacing w:line="240" w:lineRule="auto"/>
        <w:rPr>
          <w:rFonts w:hint="eastAsia" w:ascii="仿宋" w:hAnsi="仿宋" w:eastAsia="仿宋" w:cs="仿宋"/>
          <w:color w:val="auto"/>
          <w:sz w:val="28"/>
          <w:szCs w:val="28"/>
        </w:rPr>
      </w:pPr>
      <w:r>
        <w:rPr>
          <w:rFonts w:hint="eastAsia" w:ascii="仿宋" w:hAnsi="仿宋" w:eastAsia="仿宋" w:cs="仿宋"/>
          <w:b/>
          <w:bCs/>
          <w:color w:val="auto"/>
          <w:sz w:val="28"/>
          <w:szCs w:val="28"/>
          <w:lang w:val="en-US" w:eastAsia="zh-CN"/>
        </w:rPr>
        <w:t>2022年度纳入崇阳县教育局部门决算汇编范围的单位详见下表</w:t>
      </w:r>
    </w:p>
    <w:tbl>
      <w:tblPr>
        <w:tblStyle w:val="7"/>
        <w:tblW w:w="887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3060"/>
        <w:gridCol w:w="785"/>
        <w:gridCol w:w="4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2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序号</w:t>
            </w:r>
          </w:p>
        </w:tc>
        <w:tc>
          <w:tcPr>
            <w:tcW w:w="306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单位名称</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序号</w:t>
            </w:r>
          </w:p>
        </w:tc>
        <w:tc>
          <w:tcPr>
            <w:tcW w:w="421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2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1</w:t>
            </w:r>
          </w:p>
        </w:tc>
        <w:tc>
          <w:tcPr>
            <w:tcW w:w="306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崇阳县第一中学</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21</w:t>
            </w:r>
          </w:p>
        </w:tc>
        <w:tc>
          <w:tcPr>
            <w:tcW w:w="421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崇阳县第四小学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2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2</w:t>
            </w:r>
          </w:p>
        </w:tc>
        <w:tc>
          <w:tcPr>
            <w:tcW w:w="306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崇阳县第二高级中学</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22</w:t>
            </w:r>
          </w:p>
        </w:tc>
        <w:tc>
          <w:tcPr>
            <w:tcW w:w="421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崇阳县第五小学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2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3</w:t>
            </w:r>
          </w:p>
        </w:tc>
        <w:tc>
          <w:tcPr>
            <w:tcW w:w="306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崇阳县职教中心</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23</w:t>
            </w:r>
          </w:p>
        </w:tc>
        <w:tc>
          <w:tcPr>
            <w:tcW w:w="421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崇阳县第六小学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2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4</w:t>
            </w:r>
          </w:p>
        </w:tc>
        <w:tc>
          <w:tcPr>
            <w:tcW w:w="306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湖北崇阳职业技术学校</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24</w:t>
            </w:r>
          </w:p>
        </w:tc>
        <w:tc>
          <w:tcPr>
            <w:tcW w:w="421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崇阳县特殊教育学校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2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5</w:t>
            </w:r>
          </w:p>
        </w:tc>
        <w:tc>
          <w:tcPr>
            <w:tcW w:w="306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崇阳县大集中学</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25</w:t>
            </w:r>
          </w:p>
        </w:tc>
        <w:tc>
          <w:tcPr>
            <w:tcW w:w="421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崇阳县肖岭乡</w:t>
            </w:r>
            <w:r>
              <w:rPr>
                <w:rFonts w:hint="eastAsia" w:ascii="仿宋" w:hAnsi="仿宋" w:eastAsia="仿宋" w:cs="仿宋"/>
                <w:color w:val="auto"/>
                <w:sz w:val="28"/>
                <w:szCs w:val="28"/>
                <w:lang w:eastAsia="zh-CN"/>
              </w:rPr>
              <w:t>肖岭</w:t>
            </w:r>
            <w:r>
              <w:rPr>
                <w:rFonts w:hint="eastAsia" w:ascii="仿宋" w:hAnsi="仿宋" w:eastAsia="仿宋" w:cs="仿宋"/>
                <w:color w:val="auto"/>
                <w:sz w:val="28"/>
                <w:szCs w:val="28"/>
              </w:rPr>
              <w:t>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2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6</w:t>
            </w:r>
          </w:p>
        </w:tc>
        <w:tc>
          <w:tcPr>
            <w:tcW w:w="306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崇阳县天城中学</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26</w:t>
            </w:r>
          </w:p>
        </w:tc>
        <w:tc>
          <w:tcPr>
            <w:tcW w:w="421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崇阳县沙坪镇</w:t>
            </w:r>
            <w:r>
              <w:rPr>
                <w:rFonts w:hint="eastAsia" w:ascii="仿宋" w:hAnsi="仿宋" w:eastAsia="仿宋" w:cs="仿宋"/>
                <w:color w:val="auto"/>
                <w:sz w:val="28"/>
                <w:szCs w:val="28"/>
                <w:lang w:eastAsia="zh-CN"/>
              </w:rPr>
              <w:t>沙坪</w:t>
            </w:r>
            <w:r>
              <w:rPr>
                <w:rFonts w:hint="eastAsia" w:ascii="仿宋" w:hAnsi="仿宋" w:eastAsia="仿宋" w:cs="仿宋"/>
                <w:color w:val="auto"/>
                <w:sz w:val="28"/>
                <w:szCs w:val="28"/>
              </w:rPr>
              <w:t>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2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7</w:t>
            </w:r>
          </w:p>
        </w:tc>
        <w:tc>
          <w:tcPr>
            <w:tcW w:w="306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崇阳县桃溪中学</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27</w:t>
            </w:r>
          </w:p>
        </w:tc>
        <w:tc>
          <w:tcPr>
            <w:tcW w:w="421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崇阳县石城镇</w:t>
            </w:r>
            <w:r>
              <w:rPr>
                <w:rFonts w:hint="eastAsia" w:ascii="仿宋" w:hAnsi="仿宋" w:eastAsia="仿宋" w:cs="仿宋"/>
                <w:color w:val="auto"/>
                <w:sz w:val="28"/>
                <w:szCs w:val="28"/>
                <w:lang w:eastAsia="zh-CN"/>
              </w:rPr>
              <w:t>中心</w:t>
            </w:r>
            <w:r>
              <w:rPr>
                <w:rFonts w:hint="eastAsia" w:ascii="仿宋" w:hAnsi="仿宋" w:eastAsia="仿宋" w:cs="仿宋"/>
                <w:color w:val="auto"/>
                <w:sz w:val="28"/>
                <w:szCs w:val="28"/>
              </w:rPr>
              <w:t>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2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8</w:t>
            </w:r>
          </w:p>
        </w:tc>
        <w:tc>
          <w:tcPr>
            <w:tcW w:w="306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崇阳县浪口中学</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28</w:t>
            </w:r>
          </w:p>
        </w:tc>
        <w:tc>
          <w:tcPr>
            <w:tcW w:w="421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崇阳县桂花泉镇</w:t>
            </w:r>
            <w:r>
              <w:rPr>
                <w:rFonts w:hint="eastAsia" w:ascii="仿宋" w:hAnsi="仿宋" w:eastAsia="仿宋" w:cs="仿宋"/>
                <w:color w:val="auto"/>
                <w:sz w:val="28"/>
                <w:szCs w:val="28"/>
                <w:lang w:eastAsia="zh-CN"/>
              </w:rPr>
              <w:t>中心</w:t>
            </w:r>
            <w:r>
              <w:rPr>
                <w:rFonts w:hint="eastAsia" w:ascii="仿宋" w:hAnsi="仿宋" w:eastAsia="仿宋" w:cs="仿宋"/>
                <w:color w:val="auto"/>
                <w:sz w:val="28"/>
                <w:szCs w:val="28"/>
              </w:rPr>
              <w:t>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2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9</w:t>
            </w:r>
          </w:p>
        </w:tc>
        <w:tc>
          <w:tcPr>
            <w:tcW w:w="306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崇阳县肖岭中学</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29</w:t>
            </w:r>
          </w:p>
        </w:tc>
        <w:tc>
          <w:tcPr>
            <w:tcW w:w="421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崇阳县天城镇</w:t>
            </w:r>
            <w:r>
              <w:rPr>
                <w:rFonts w:hint="eastAsia" w:ascii="仿宋" w:hAnsi="仿宋" w:eastAsia="仿宋" w:cs="仿宋"/>
                <w:color w:val="auto"/>
                <w:sz w:val="28"/>
                <w:szCs w:val="28"/>
                <w:lang w:eastAsia="zh-CN"/>
              </w:rPr>
              <w:t>新塘岭</w:t>
            </w:r>
            <w:r>
              <w:rPr>
                <w:rFonts w:hint="eastAsia" w:ascii="仿宋" w:hAnsi="仿宋" w:eastAsia="仿宋" w:cs="仿宋"/>
                <w:color w:val="auto"/>
                <w:sz w:val="28"/>
                <w:szCs w:val="28"/>
              </w:rPr>
              <w:t>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2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10</w:t>
            </w:r>
          </w:p>
        </w:tc>
        <w:tc>
          <w:tcPr>
            <w:tcW w:w="306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崇阳县沙坪中学</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30</w:t>
            </w:r>
          </w:p>
        </w:tc>
        <w:tc>
          <w:tcPr>
            <w:tcW w:w="421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崇阳县铜钟乡</w:t>
            </w:r>
            <w:r>
              <w:rPr>
                <w:rFonts w:hint="eastAsia" w:ascii="仿宋" w:hAnsi="仿宋" w:eastAsia="仿宋" w:cs="仿宋"/>
                <w:color w:val="auto"/>
                <w:sz w:val="28"/>
                <w:szCs w:val="28"/>
                <w:lang w:eastAsia="zh-CN"/>
              </w:rPr>
              <w:t>东桥</w:t>
            </w:r>
            <w:r>
              <w:rPr>
                <w:rFonts w:hint="eastAsia" w:ascii="仿宋" w:hAnsi="仿宋" w:eastAsia="仿宋" w:cs="仿宋"/>
                <w:color w:val="auto"/>
                <w:sz w:val="28"/>
                <w:szCs w:val="28"/>
              </w:rPr>
              <w:t>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2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11</w:t>
            </w:r>
          </w:p>
        </w:tc>
        <w:tc>
          <w:tcPr>
            <w:tcW w:w="306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崇阳县实验中学</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31</w:t>
            </w:r>
          </w:p>
        </w:tc>
        <w:tc>
          <w:tcPr>
            <w:tcW w:w="421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崇阳县教育局(汇总)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2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12</w:t>
            </w:r>
          </w:p>
        </w:tc>
        <w:tc>
          <w:tcPr>
            <w:tcW w:w="306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崇阳县白霓镇中学</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32</w:t>
            </w:r>
          </w:p>
        </w:tc>
        <w:tc>
          <w:tcPr>
            <w:tcW w:w="421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崇阳县路口镇</w:t>
            </w:r>
            <w:r>
              <w:rPr>
                <w:rFonts w:hint="eastAsia" w:ascii="仿宋" w:hAnsi="仿宋" w:eastAsia="仿宋" w:cs="仿宋"/>
                <w:color w:val="auto"/>
                <w:sz w:val="28"/>
                <w:szCs w:val="28"/>
                <w:lang w:eastAsia="zh-CN"/>
              </w:rPr>
              <w:t>路口</w:t>
            </w:r>
            <w:r>
              <w:rPr>
                <w:rFonts w:hint="eastAsia" w:ascii="仿宋" w:hAnsi="仿宋" w:eastAsia="仿宋" w:cs="仿宋"/>
                <w:color w:val="auto"/>
                <w:sz w:val="28"/>
                <w:szCs w:val="28"/>
              </w:rPr>
              <w:t>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2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13</w:t>
            </w:r>
          </w:p>
        </w:tc>
        <w:tc>
          <w:tcPr>
            <w:tcW w:w="306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崇阳县路口中学</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33</w:t>
            </w:r>
          </w:p>
        </w:tc>
        <w:tc>
          <w:tcPr>
            <w:tcW w:w="421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崇阳县港口乡</w:t>
            </w:r>
            <w:r>
              <w:rPr>
                <w:rFonts w:hint="eastAsia" w:ascii="仿宋" w:hAnsi="仿宋" w:eastAsia="仿宋" w:cs="仿宋"/>
                <w:color w:val="auto"/>
                <w:sz w:val="28"/>
                <w:szCs w:val="28"/>
                <w:lang w:eastAsia="zh-CN"/>
              </w:rPr>
              <w:t>明德</w:t>
            </w:r>
            <w:r>
              <w:rPr>
                <w:rFonts w:hint="eastAsia" w:ascii="仿宋" w:hAnsi="仿宋" w:eastAsia="仿宋" w:cs="仿宋"/>
                <w:color w:val="auto"/>
                <w:sz w:val="28"/>
                <w:szCs w:val="28"/>
              </w:rPr>
              <w:t>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2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14</w:t>
            </w:r>
          </w:p>
        </w:tc>
        <w:tc>
          <w:tcPr>
            <w:tcW w:w="306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崇阳县港口中学</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34</w:t>
            </w:r>
          </w:p>
        </w:tc>
        <w:tc>
          <w:tcPr>
            <w:tcW w:w="421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崇阳县金塘镇</w:t>
            </w:r>
            <w:r>
              <w:rPr>
                <w:rFonts w:hint="eastAsia" w:ascii="仿宋" w:hAnsi="仿宋" w:eastAsia="仿宋" w:cs="仿宋"/>
                <w:color w:val="auto"/>
                <w:sz w:val="28"/>
                <w:szCs w:val="28"/>
                <w:lang w:eastAsia="zh-CN"/>
              </w:rPr>
              <w:t>金塘</w:t>
            </w:r>
            <w:r>
              <w:rPr>
                <w:rFonts w:hint="eastAsia" w:ascii="仿宋" w:hAnsi="仿宋" w:eastAsia="仿宋" w:cs="仿宋"/>
                <w:color w:val="auto"/>
                <w:sz w:val="28"/>
                <w:szCs w:val="28"/>
              </w:rPr>
              <w:t>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2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15</w:t>
            </w:r>
          </w:p>
        </w:tc>
        <w:tc>
          <w:tcPr>
            <w:tcW w:w="306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崇阳县青山中学</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35</w:t>
            </w:r>
          </w:p>
        </w:tc>
        <w:tc>
          <w:tcPr>
            <w:tcW w:w="421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崇阳县高枧乡</w:t>
            </w:r>
            <w:r>
              <w:rPr>
                <w:rFonts w:hint="eastAsia" w:ascii="仿宋" w:hAnsi="仿宋" w:eastAsia="仿宋" w:cs="仿宋"/>
                <w:color w:val="auto"/>
                <w:sz w:val="28"/>
                <w:szCs w:val="28"/>
                <w:lang w:eastAsia="zh-CN"/>
              </w:rPr>
              <w:t>高枧</w:t>
            </w:r>
            <w:r>
              <w:rPr>
                <w:rFonts w:hint="eastAsia" w:ascii="仿宋" w:hAnsi="仿宋" w:eastAsia="仿宋" w:cs="仿宋"/>
                <w:color w:val="auto"/>
                <w:sz w:val="28"/>
                <w:szCs w:val="28"/>
              </w:rPr>
              <w:t>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2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16</w:t>
            </w:r>
          </w:p>
        </w:tc>
        <w:tc>
          <w:tcPr>
            <w:tcW w:w="306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崇阳县铜钟中学</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36</w:t>
            </w:r>
          </w:p>
        </w:tc>
        <w:tc>
          <w:tcPr>
            <w:tcW w:w="421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崇阳县青山镇</w:t>
            </w:r>
            <w:r>
              <w:rPr>
                <w:rFonts w:hint="eastAsia" w:ascii="仿宋" w:hAnsi="仿宋" w:eastAsia="仿宋" w:cs="仿宋"/>
                <w:color w:val="auto"/>
                <w:sz w:val="28"/>
                <w:szCs w:val="28"/>
                <w:lang w:eastAsia="zh-CN"/>
              </w:rPr>
              <w:t>雷骆</w:t>
            </w:r>
            <w:r>
              <w:rPr>
                <w:rFonts w:hint="eastAsia" w:ascii="仿宋" w:hAnsi="仿宋" w:eastAsia="仿宋" w:cs="仿宋"/>
                <w:color w:val="auto"/>
                <w:sz w:val="28"/>
                <w:szCs w:val="28"/>
              </w:rPr>
              <w:t>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2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17</w:t>
            </w:r>
          </w:p>
        </w:tc>
        <w:tc>
          <w:tcPr>
            <w:tcW w:w="306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崇阳县实验小学</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37</w:t>
            </w:r>
          </w:p>
        </w:tc>
        <w:tc>
          <w:tcPr>
            <w:tcW w:w="421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崇阳县幼儿园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2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18</w:t>
            </w:r>
          </w:p>
        </w:tc>
        <w:tc>
          <w:tcPr>
            <w:tcW w:w="306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崇阳县第二实验小学</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38</w:t>
            </w:r>
          </w:p>
        </w:tc>
        <w:tc>
          <w:tcPr>
            <w:tcW w:w="421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崇阳县第二幼儿园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2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19</w:t>
            </w:r>
          </w:p>
        </w:tc>
        <w:tc>
          <w:tcPr>
            <w:tcW w:w="306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崇阳县第二小学</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39</w:t>
            </w:r>
          </w:p>
        </w:tc>
        <w:tc>
          <w:tcPr>
            <w:tcW w:w="421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崇阳县第四幼儿园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82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20</w:t>
            </w:r>
          </w:p>
        </w:tc>
        <w:tc>
          <w:tcPr>
            <w:tcW w:w="306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崇阳县第三小学</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40</w:t>
            </w:r>
          </w:p>
        </w:tc>
        <w:tc>
          <w:tcPr>
            <w:tcW w:w="421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崇阳县教育局机关（含二级单位）</w:t>
            </w:r>
          </w:p>
        </w:tc>
      </w:tr>
    </w:tbl>
    <w:p>
      <w:pPr>
        <w:spacing w:line="240" w:lineRule="auto"/>
        <w:ind w:firstLine="640" w:firstLineChars="200"/>
        <w:rPr>
          <w:rFonts w:hint="eastAsia" w:ascii="宋体" w:hAnsi="宋体" w:eastAsia="宋体" w:cs="宋体"/>
          <w:color w:val="auto"/>
          <w:sz w:val="28"/>
          <w:szCs w:val="28"/>
        </w:rPr>
      </w:pPr>
      <w:r>
        <w:rPr>
          <w:rFonts w:hint="eastAsia" w:ascii="仿宋" w:hAnsi="仿宋" w:eastAsia="仿宋" w:cs="仿宋"/>
          <w:color w:val="auto"/>
          <w:sz w:val="32"/>
          <w:szCs w:val="32"/>
        </w:rPr>
        <w:t>2、本说明是对整个教育系统，决算公开表只对部门决算单位。</w:t>
      </w:r>
    </w:p>
    <w:p>
      <w:pPr>
        <w:rPr>
          <w:rFonts w:hint="eastAsia" w:ascii="宋体" w:hAnsi="宋体" w:eastAsia="宋体" w:cs="宋体"/>
          <w:color w:val="auto"/>
          <w:sz w:val="28"/>
          <w:szCs w:val="28"/>
        </w:rPr>
        <w:sectPr>
          <w:footerReference r:id="rId3" w:type="default"/>
          <w:type w:val="continuous"/>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numPr>
          <w:ilvl w:val="0"/>
          <w:numId w:val="1"/>
        </w:numPr>
        <w:ind w:left="0" w:leftChars="0" w:firstLine="0" w:firstLineChars="0"/>
        <w:jc w:val="center"/>
        <w:rPr>
          <w:rFonts w:hint="eastAsia" w:ascii="黑体" w:hAnsi="黑体" w:eastAsia="黑体" w:cs="黑体"/>
          <w:b/>
          <w:color w:val="auto"/>
          <w:sz w:val="44"/>
          <w:szCs w:val="44"/>
          <w:lang w:eastAsia="zh-CN"/>
        </w:rPr>
      </w:pPr>
      <w:r>
        <w:rPr>
          <w:rFonts w:hint="eastAsia" w:ascii="黑体" w:hAnsi="黑体" w:eastAsia="黑体" w:cs="黑体"/>
          <w:b/>
          <w:color w:val="auto"/>
          <w:sz w:val="44"/>
          <w:szCs w:val="44"/>
          <w:lang w:eastAsia="zh-CN"/>
        </w:rPr>
        <w:t>崇阳县教育局(汇总)2022</w:t>
      </w:r>
      <w:r>
        <w:rPr>
          <w:rFonts w:hint="eastAsia" w:ascii="黑体" w:hAnsi="黑体" w:eastAsia="黑体" w:cs="黑体"/>
          <w:b/>
          <w:color w:val="auto"/>
          <w:sz w:val="44"/>
          <w:szCs w:val="44"/>
        </w:rPr>
        <w:t>年度部门决算报表</w:t>
      </w:r>
    </w:p>
    <w:p>
      <w:pPr>
        <w:rPr>
          <w:rFonts w:hint="eastAsia" w:ascii="仿宋" w:hAnsi="仿宋" w:eastAsia="仿宋" w:cs="仿宋"/>
          <w:color w:val="auto"/>
          <w:sz w:val="32"/>
          <w:szCs w:val="32"/>
        </w:rPr>
      </w:pPr>
      <w:r>
        <w:rPr>
          <w:rFonts w:hint="eastAsia" w:ascii="仿宋" w:hAnsi="仿宋" w:eastAsia="仿宋" w:cs="仿宋"/>
          <w:color w:val="auto"/>
          <w:sz w:val="32"/>
          <w:szCs w:val="32"/>
        </w:rPr>
        <w:t>一、收入支出决算总表</w:t>
      </w:r>
    </w:p>
    <w:p>
      <w:pPr>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drawing>
          <wp:inline distT="0" distB="0" distL="114300" distR="114300">
            <wp:extent cx="5976620" cy="4987290"/>
            <wp:effectExtent l="0" t="0" r="5080" b="3810"/>
            <wp:docPr id="1" name="图片 1" descr="崇阳县教育局(汇总)_Z01 收入支出决算总表(公开01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崇阳县教育局(汇总)_Z01 收入支出决算总表(公开01表)"/>
                    <pic:cNvPicPr>
                      <a:picLocks noChangeAspect="1"/>
                    </pic:cNvPicPr>
                  </pic:nvPicPr>
                  <pic:blipFill>
                    <a:blip r:embed="rId6"/>
                    <a:stretch>
                      <a:fillRect/>
                    </a:stretch>
                  </pic:blipFill>
                  <pic:spPr>
                    <a:xfrm>
                      <a:off x="0" y="0"/>
                      <a:ext cx="5976620" cy="4987290"/>
                    </a:xfrm>
                    <a:prstGeom prst="rect">
                      <a:avLst/>
                    </a:prstGeom>
                  </pic:spPr>
                </pic:pic>
              </a:graphicData>
            </a:graphic>
          </wp:inline>
        </w:drawing>
      </w:r>
    </w:p>
    <w:p>
      <w:pPr>
        <w:rPr>
          <w:rFonts w:hint="eastAsia" w:ascii="仿宋" w:hAnsi="仿宋" w:eastAsia="仿宋" w:cs="仿宋"/>
          <w:color w:val="auto"/>
          <w:sz w:val="32"/>
          <w:szCs w:val="32"/>
        </w:rPr>
      </w:pPr>
      <w:r>
        <w:rPr>
          <w:rFonts w:hint="eastAsia" w:ascii="仿宋" w:hAnsi="仿宋" w:eastAsia="仿宋" w:cs="仿宋"/>
          <w:color w:val="auto"/>
          <w:sz w:val="32"/>
          <w:szCs w:val="32"/>
        </w:rPr>
        <w:t>二、收入决算表</w:t>
      </w:r>
    </w:p>
    <w:p>
      <w:pPr>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drawing>
          <wp:inline distT="0" distB="0" distL="114300" distR="114300">
            <wp:extent cx="6272530" cy="5382895"/>
            <wp:effectExtent l="0" t="0" r="13970" b="8255"/>
            <wp:docPr id="2" name="图片 2" descr="崇阳县教育局(汇总)_Z03 收入决算表(公开02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崇阳县教育局(汇总)_Z03 收入决算表(公开02表)"/>
                    <pic:cNvPicPr>
                      <a:picLocks noChangeAspect="1"/>
                    </pic:cNvPicPr>
                  </pic:nvPicPr>
                  <pic:blipFill>
                    <a:blip r:embed="rId7"/>
                    <a:stretch>
                      <a:fillRect/>
                    </a:stretch>
                  </pic:blipFill>
                  <pic:spPr>
                    <a:xfrm>
                      <a:off x="0" y="0"/>
                      <a:ext cx="6272530" cy="5382895"/>
                    </a:xfrm>
                    <a:prstGeom prst="rect">
                      <a:avLst/>
                    </a:prstGeom>
                  </pic:spPr>
                </pic:pic>
              </a:graphicData>
            </a:graphic>
          </wp:inline>
        </w:drawing>
      </w:r>
    </w:p>
    <w:p>
      <w:pPr>
        <w:rPr>
          <w:rFonts w:hint="eastAsia" w:ascii="仿宋" w:hAnsi="仿宋" w:eastAsia="仿宋" w:cs="仿宋"/>
          <w:color w:val="auto"/>
          <w:sz w:val="32"/>
          <w:szCs w:val="32"/>
        </w:rPr>
      </w:pPr>
      <w:r>
        <w:rPr>
          <w:rFonts w:hint="eastAsia" w:ascii="仿宋" w:hAnsi="仿宋" w:eastAsia="仿宋" w:cs="仿宋"/>
          <w:color w:val="auto"/>
          <w:sz w:val="32"/>
          <w:szCs w:val="32"/>
        </w:rPr>
        <w:t>三、支出决算表</w:t>
      </w:r>
    </w:p>
    <w:p>
      <w:pPr>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drawing>
          <wp:inline distT="0" distB="0" distL="114300" distR="114300">
            <wp:extent cx="5754370" cy="5494655"/>
            <wp:effectExtent l="0" t="0" r="17780" b="10795"/>
            <wp:docPr id="3" name="图片 3" descr="崇阳县教育局(汇总)_Z04 支出决算表(公开03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崇阳县教育局(汇总)_Z04 支出决算表(公开03表)"/>
                    <pic:cNvPicPr>
                      <a:picLocks noChangeAspect="1"/>
                    </pic:cNvPicPr>
                  </pic:nvPicPr>
                  <pic:blipFill>
                    <a:blip r:embed="rId8"/>
                    <a:stretch>
                      <a:fillRect/>
                    </a:stretch>
                  </pic:blipFill>
                  <pic:spPr>
                    <a:xfrm>
                      <a:off x="0" y="0"/>
                      <a:ext cx="5754370" cy="5494655"/>
                    </a:xfrm>
                    <a:prstGeom prst="rect">
                      <a:avLst/>
                    </a:prstGeom>
                  </pic:spPr>
                </pic:pic>
              </a:graphicData>
            </a:graphic>
          </wp:inline>
        </w:drawing>
      </w:r>
    </w:p>
    <w:p>
      <w:pPr>
        <w:rPr>
          <w:rFonts w:hint="eastAsia" w:ascii="仿宋" w:hAnsi="仿宋" w:eastAsia="仿宋" w:cs="仿宋"/>
          <w:color w:val="auto"/>
          <w:sz w:val="32"/>
          <w:szCs w:val="32"/>
        </w:rPr>
      </w:pPr>
      <w:r>
        <w:rPr>
          <w:rFonts w:hint="eastAsia" w:ascii="仿宋" w:hAnsi="仿宋" w:eastAsia="仿宋" w:cs="仿宋"/>
          <w:color w:val="auto"/>
          <w:sz w:val="32"/>
          <w:szCs w:val="32"/>
        </w:rPr>
        <w:t>四、财政拨款收入支出决算总表</w:t>
      </w:r>
    </w:p>
    <w:p>
      <w:pPr>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drawing>
          <wp:inline distT="0" distB="0" distL="114300" distR="114300">
            <wp:extent cx="7418070" cy="5527675"/>
            <wp:effectExtent l="0" t="0" r="11430" b="15875"/>
            <wp:docPr id="4" name="图片 4" descr="崇阳县教育局(汇总)_Z01_1 财政拨款收入支出决算总表(公开04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崇阳县教育局(汇总)_Z01_1 财政拨款收入支出决算总表(公开04表)"/>
                    <pic:cNvPicPr>
                      <a:picLocks noChangeAspect="1"/>
                    </pic:cNvPicPr>
                  </pic:nvPicPr>
                  <pic:blipFill>
                    <a:blip r:embed="rId9"/>
                    <a:stretch>
                      <a:fillRect/>
                    </a:stretch>
                  </pic:blipFill>
                  <pic:spPr>
                    <a:xfrm>
                      <a:off x="0" y="0"/>
                      <a:ext cx="7418070" cy="5527675"/>
                    </a:xfrm>
                    <a:prstGeom prst="rect">
                      <a:avLst/>
                    </a:prstGeom>
                  </pic:spPr>
                </pic:pic>
              </a:graphicData>
            </a:graphic>
          </wp:inline>
        </w:drawing>
      </w:r>
    </w:p>
    <w:p>
      <w:pPr>
        <w:rPr>
          <w:rFonts w:hint="eastAsia" w:ascii="仿宋" w:hAnsi="仿宋" w:eastAsia="仿宋" w:cs="仿宋"/>
          <w:color w:val="auto"/>
          <w:sz w:val="32"/>
          <w:szCs w:val="32"/>
        </w:rPr>
      </w:pPr>
      <w:r>
        <w:rPr>
          <w:rFonts w:hint="eastAsia" w:ascii="仿宋" w:hAnsi="仿宋" w:eastAsia="仿宋" w:cs="仿宋"/>
          <w:color w:val="auto"/>
          <w:sz w:val="32"/>
          <w:szCs w:val="32"/>
        </w:rPr>
        <w:t>五、一般公共预算财政拨款支出决算表</w:t>
      </w:r>
    </w:p>
    <w:p>
      <w:pPr>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drawing>
          <wp:inline distT="0" distB="0" distL="114300" distR="114300">
            <wp:extent cx="4190365" cy="5351780"/>
            <wp:effectExtent l="0" t="0" r="635" b="1270"/>
            <wp:docPr id="5" name="图片 5" descr="崇阳县教育局(汇总)_Z07 一般公共预算财政拨款支出决算表(公开05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崇阳县教育局(汇总)_Z07 一般公共预算财政拨款支出决算表(公开05表)"/>
                    <pic:cNvPicPr>
                      <a:picLocks noChangeAspect="1"/>
                    </pic:cNvPicPr>
                  </pic:nvPicPr>
                  <pic:blipFill>
                    <a:blip r:embed="rId10"/>
                    <a:stretch>
                      <a:fillRect/>
                    </a:stretch>
                  </pic:blipFill>
                  <pic:spPr>
                    <a:xfrm>
                      <a:off x="0" y="0"/>
                      <a:ext cx="4190365" cy="5351780"/>
                    </a:xfrm>
                    <a:prstGeom prst="rect">
                      <a:avLst/>
                    </a:prstGeom>
                  </pic:spPr>
                </pic:pic>
              </a:graphicData>
            </a:graphic>
          </wp:inline>
        </w:drawing>
      </w:r>
    </w:p>
    <w:p>
      <w:pPr>
        <w:rPr>
          <w:rFonts w:hint="eastAsia" w:ascii="仿宋" w:hAnsi="仿宋" w:eastAsia="仿宋" w:cs="仿宋"/>
          <w:color w:val="auto"/>
          <w:sz w:val="32"/>
          <w:szCs w:val="32"/>
        </w:rPr>
      </w:pPr>
      <w:r>
        <w:rPr>
          <w:rFonts w:hint="eastAsia" w:ascii="仿宋" w:hAnsi="仿宋" w:eastAsia="仿宋" w:cs="仿宋"/>
          <w:color w:val="auto"/>
          <w:sz w:val="32"/>
          <w:szCs w:val="32"/>
        </w:rPr>
        <w:t>六、一般公共预算财政拨款基本支出决算</w:t>
      </w:r>
      <w:r>
        <w:rPr>
          <w:rFonts w:hint="eastAsia" w:ascii="仿宋" w:hAnsi="仿宋" w:eastAsia="仿宋" w:cs="仿宋"/>
          <w:color w:val="auto"/>
          <w:sz w:val="32"/>
          <w:szCs w:val="32"/>
          <w:lang w:val="en-US" w:eastAsia="zh-CN"/>
        </w:rPr>
        <w:t>明细</w:t>
      </w:r>
      <w:r>
        <w:rPr>
          <w:rFonts w:hint="eastAsia" w:ascii="仿宋" w:hAnsi="仿宋" w:eastAsia="仿宋" w:cs="仿宋"/>
          <w:color w:val="auto"/>
          <w:sz w:val="32"/>
          <w:szCs w:val="32"/>
        </w:rPr>
        <w:t>表</w:t>
      </w:r>
    </w:p>
    <w:p>
      <w:pPr>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drawing>
          <wp:inline distT="0" distB="0" distL="114300" distR="114300">
            <wp:extent cx="9242425" cy="5467985"/>
            <wp:effectExtent l="0" t="0" r="15875" b="18415"/>
            <wp:docPr id="6" name="图片 6" descr="崇阳县教育局(汇总)_Z08_1 一般公共预算财政拨款基本支出决算明细表(公开06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崇阳县教育局(汇总)_Z08_1 一般公共预算财政拨款基本支出决算明细表(公开06表"/>
                    <pic:cNvPicPr>
                      <a:picLocks noChangeAspect="1"/>
                    </pic:cNvPicPr>
                  </pic:nvPicPr>
                  <pic:blipFill>
                    <a:blip r:embed="rId11"/>
                    <a:stretch>
                      <a:fillRect/>
                    </a:stretch>
                  </pic:blipFill>
                  <pic:spPr>
                    <a:xfrm>
                      <a:off x="0" y="0"/>
                      <a:ext cx="9242425" cy="5467985"/>
                    </a:xfrm>
                    <a:prstGeom prst="rect">
                      <a:avLst/>
                    </a:prstGeom>
                  </pic:spPr>
                </pic:pic>
              </a:graphicData>
            </a:graphic>
          </wp:inline>
        </w:drawing>
      </w:r>
    </w:p>
    <w:p>
      <w:pPr>
        <w:rPr>
          <w:rFonts w:hint="eastAsia" w:ascii="仿宋" w:hAnsi="仿宋" w:eastAsia="仿宋" w:cs="仿宋"/>
          <w:color w:val="auto"/>
          <w:sz w:val="32"/>
          <w:szCs w:val="32"/>
          <w:lang w:val="en-US" w:eastAsia="zh-CN"/>
        </w:rPr>
      </w:pPr>
    </w:p>
    <w:p>
      <w:pPr>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七</w:t>
      </w:r>
      <w:r>
        <w:rPr>
          <w:rFonts w:hint="eastAsia" w:ascii="仿宋" w:hAnsi="仿宋" w:eastAsia="仿宋" w:cs="仿宋"/>
          <w:color w:val="auto"/>
          <w:sz w:val="32"/>
          <w:szCs w:val="32"/>
        </w:rPr>
        <w:t>、政府性基金预算财政拨款收入支出决算表</w:t>
      </w:r>
    </w:p>
    <w:p>
      <w:pP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drawing>
          <wp:inline distT="0" distB="0" distL="114300" distR="114300">
            <wp:extent cx="9251315" cy="3250565"/>
            <wp:effectExtent l="0" t="0" r="6985" b="6985"/>
            <wp:docPr id="7" name="图片 7" descr="崇阳县教育局(汇总)_Z09 政府性基金预算财政拨款收入支出决算表(公开07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崇阳县教育局(汇总)_Z09 政府性基金预算财政拨款收入支出决算表(公开07表)"/>
                    <pic:cNvPicPr>
                      <a:picLocks noChangeAspect="1"/>
                    </pic:cNvPicPr>
                  </pic:nvPicPr>
                  <pic:blipFill>
                    <a:blip r:embed="rId12"/>
                    <a:stretch>
                      <a:fillRect/>
                    </a:stretch>
                  </pic:blipFill>
                  <pic:spPr>
                    <a:xfrm>
                      <a:off x="0" y="0"/>
                      <a:ext cx="9251315" cy="3250565"/>
                    </a:xfrm>
                    <a:prstGeom prst="rect">
                      <a:avLst/>
                    </a:prstGeom>
                  </pic:spPr>
                </pic:pic>
              </a:graphicData>
            </a:graphic>
          </wp:inline>
        </w:drawing>
      </w:r>
    </w:p>
    <w:p>
      <w:pPr>
        <w:rPr>
          <w:rFonts w:hint="eastAsia" w:ascii="仿宋" w:hAnsi="仿宋" w:eastAsia="仿宋" w:cs="仿宋"/>
          <w:color w:val="auto"/>
          <w:sz w:val="32"/>
          <w:szCs w:val="32"/>
          <w:lang w:eastAsia="zh-CN"/>
        </w:rPr>
      </w:pPr>
    </w:p>
    <w:p>
      <w:pPr>
        <w:rPr>
          <w:rFonts w:hint="eastAsia" w:ascii="仿宋" w:hAnsi="仿宋" w:eastAsia="仿宋" w:cs="仿宋"/>
          <w:color w:val="auto"/>
          <w:sz w:val="32"/>
          <w:szCs w:val="32"/>
          <w:lang w:eastAsia="zh-CN"/>
        </w:rPr>
      </w:pPr>
    </w:p>
    <w:p>
      <w:pPr>
        <w:rPr>
          <w:rFonts w:hint="eastAsia" w:ascii="仿宋" w:hAnsi="仿宋" w:eastAsia="仿宋" w:cs="仿宋"/>
          <w:color w:val="auto"/>
          <w:sz w:val="32"/>
          <w:szCs w:val="32"/>
          <w:lang w:eastAsia="zh-CN"/>
        </w:rPr>
      </w:pPr>
    </w:p>
    <w:p>
      <w:pPr>
        <w:rPr>
          <w:rFonts w:hint="eastAsia" w:ascii="仿宋" w:hAnsi="仿宋" w:eastAsia="仿宋" w:cs="仿宋"/>
          <w:color w:val="auto"/>
          <w:sz w:val="32"/>
          <w:szCs w:val="32"/>
          <w:lang w:val="en-US" w:eastAsia="zh-CN"/>
        </w:rPr>
      </w:pPr>
    </w:p>
    <w:p>
      <w:pPr>
        <w:rPr>
          <w:rFonts w:hint="eastAsia" w:ascii="仿宋" w:hAnsi="仿宋" w:eastAsia="仿宋" w:cs="仿宋"/>
          <w:color w:val="auto"/>
          <w:sz w:val="32"/>
          <w:szCs w:val="32"/>
          <w:lang w:val="en-US" w:eastAsia="zh-CN"/>
        </w:rPr>
      </w:pPr>
    </w:p>
    <w:p>
      <w:pP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八</w:t>
      </w:r>
      <w:r>
        <w:rPr>
          <w:rFonts w:hint="eastAsia" w:ascii="仿宋" w:hAnsi="仿宋" w:eastAsia="仿宋" w:cs="仿宋"/>
          <w:color w:val="auto"/>
          <w:sz w:val="32"/>
          <w:szCs w:val="32"/>
          <w:lang w:eastAsia="zh-CN"/>
        </w:rPr>
        <w:t>、国有资本经营预算财政拨款支出决算表</w:t>
      </w:r>
    </w:p>
    <w:p>
      <w:pPr>
        <w:rPr>
          <w:rFonts w:hint="default" w:ascii="仿宋" w:hAnsi="仿宋" w:eastAsia="仿宋" w:cs="仿宋"/>
          <w:color w:val="auto"/>
          <w:sz w:val="32"/>
          <w:szCs w:val="32"/>
          <w:lang w:val="en-US" w:eastAsia="zh-CN"/>
        </w:rPr>
      </w:pPr>
      <w:r>
        <w:rPr>
          <w:rFonts w:hint="default" w:ascii="仿宋" w:hAnsi="仿宋" w:eastAsia="仿宋" w:cs="仿宋"/>
          <w:color w:val="auto"/>
          <w:sz w:val="32"/>
          <w:szCs w:val="32"/>
          <w:lang w:val="en-US" w:eastAsia="zh-CN"/>
        </w:rPr>
        <w:drawing>
          <wp:inline distT="0" distB="0" distL="114300" distR="114300">
            <wp:extent cx="9249410" cy="4815205"/>
            <wp:effectExtent l="0" t="0" r="8890" b="4445"/>
            <wp:docPr id="8" name="图片 8" descr="崇阳县教育局(汇总)_Z11 国有资本经营预算财政拨款支出决算表(公开08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崇阳县教育局(汇总)_Z11 国有资本经营预算财政拨款支出决算表(公开08表)"/>
                    <pic:cNvPicPr>
                      <a:picLocks noChangeAspect="1"/>
                    </pic:cNvPicPr>
                  </pic:nvPicPr>
                  <pic:blipFill>
                    <a:blip r:embed="rId13"/>
                    <a:stretch>
                      <a:fillRect/>
                    </a:stretch>
                  </pic:blipFill>
                  <pic:spPr>
                    <a:xfrm>
                      <a:off x="0" y="0"/>
                      <a:ext cx="9249410" cy="4815205"/>
                    </a:xfrm>
                    <a:prstGeom prst="rect">
                      <a:avLst/>
                    </a:prstGeom>
                  </pic:spPr>
                </pic:pic>
              </a:graphicData>
            </a:graphic>
          </wp:inline>
        </w:drawing>
      </w:r>
    </w:p>
    <w:p>
      <w:pPr>
        <w:rPr>
          <w:rFonts w:hint="eastAsia" w:ascii="仿宋" w:hAnsi="仿宋" w:eastAsia="仿宋" w:cs="仿宋"/>
          <w:color w:val="auto"/>
          <w:sz w:val="32"/>
          <w:szCs w:val="32"/>
          <w:lang w:val="en-US" w:eastAsia="zh-CN"/>
        </w:rPr>
      </w:pPr>
    </w:p>
    <w:p>
      <w:pPr>
        <w:rPr>
          <w:rFonts w:hint="eastAsia" w:ascii="仿宋" w:hAnsi="仿宋" w:eastAsia="仿宋" w:cs="仿宋"/>
          <w:color w:val="auto"/>
          <w:sz w:val="32"/>
          <w:szCs w:val="32"/>
          <w:lang w:val="en-US" w:eastAsia="zh-CN"/>
        </w:rPr>
      </w:pPr>
    </w:p>
    <w:p>
      <w:pPr>
        <w:rPr>
          <w:rFonts w:hint="eastAsia" w:ascii="仿宋" w:hAnsi="仿宋" w:eastAsia="仿宋" w:cs="仿宋"/>
          <w:color w:val="auto"/>
          <w:sz w:val="32"/>
          <w:szCs w:val="32"/>
          <w:lang w:val="en-US" w:eastAsia="zh-CN"/>
        </w:rPr>
      </w:pPr>
    </w:p>
    <w:p>
      <w:pPr>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九</w:t>
      </w:r>
      <w:r>
        <w:rPr>
          <w:rFonts w:hint="eastAsia" w:ascii="仿宋" w:hAnsi="仿宋" w:eastAsia="仿宋" w:cs="仿宋"/>
          <w:color w:val="auto"/>
          <w:sz w:val="32"/>
          <w:szCs w:val="32"/>
        </w:rPr>
        <w:t>、财政拨款“三公”经费支出决算表</w:t>
      </w:r>
    </w:p>
    <w:p>
      <w:pP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drawing>
          <wp:inline distT="0" distB="0" distL="114300" distR="114300">
            <wp:extent cx="9244965" cy="2385695"/>
            <wp:effectExtent l="0" t="0" r="13335" b="14605"/>
            <wp:docPr id="14" name="图片 14" descr="崇阳县教育局（本级）_F03 财政拨款“三公”经费支出决算表(公开09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崇阳县教育局（本级）_F03 财政拨款“三公”经费支出决算表(公开09表)(1)"/>
                    <pic:cNvPicPr>
                      <a:picLocks noChangeAspect="1"/>
                    </pic:cNvPicPr>
                  </pic:nvPicPr>
                  <pic:blipFill>
                    <a:blip r:embed="rId14"/>
                    <a:stretch>
                      <a:fillRect/>
                    </a:stretch>
                  </pic:blipFill>
                  <pic:spPr>
                    <a:xfrm>
                      <a:off x="0" y="0"/>
                      <a:ext cx="9244965" cy="2385695"/>
                    </a:xfrm>
                    <a:prstGeom prst="rect">
                      <a:avLst/>
                    </a:prstGeom>
                  </pic:spPr>
                </pic:pic>
              </a:graphicData>
            </a:graphic>
          </wp:inline>
        </w:drawing>
      </w:r>
    </w:p>
    <w:p>
      <w:pPr>
        <w:rPr>
          <w:rFonts w:hint="eastAsia" w:ascii="仿宋" w:hAnsi="仿宋" w:eastAsia="仿宋" w:cs="仿宋"/>
          <w:color w:val="auto"/>
          <w:sz w:val="32"/>
          <w:szCs w:val="32"/>
        </w:rPr>
      </w:pPr>
    </w:p>
    <w:p>
      <w:pPr>
        <w:rPr>
          <w:rFonts w:hint="eastAsia" w:ascii="仿宋" w:hAnsi="仿宋" w:eastAsia="仿宋" w:cs="仿宋"/>
          <w:color w:val="auto"/>
          <w:sz w:val="32"/>
          <w:szCs w:val="32"/>
          <w:lang w:eastAsia="zh-CN"/>
        </w:rPr>
      </w:pPr>
    </w:p>
    <w:p>
      <w:pPr>
        <w:rPr>
          <w:rFonts w:hint="eastAsia" w:ascii="仿宋" w:hAnsi="仿宋" w:eastAsia="仿宋" w:cs="仿宋"/>
          <w:color w:val="auto"/>
          <w:sz w:val="32"/>
          <w:szCs w:val="32"/>
          <w:lang w:eastAsia="zh-CN"/>
        </w:rPr>
      </w:pPr>
    </w:p>
    <w:p>
      <w:pPr>
        <w:rPr>
          <w:rFonts w:hint="eastAsia" w:ascii="仿宋" w:hAnsi="仿宋" w:eastAsia="仿宋" w:cs="仿宋"/>
          <w:color w:val="auto"/>
          <w:sz w:val="32"/>
          <w:szCs w:val="32"/>
          <w:lang w:eastAsia="zh-CN"/>
        </w:rPr>
      </w:pPr>
    </w:p>
    <w:p>
      <w:pPr>
        <w:rPr>
          <w:rFonts w:hint="eastAsia" w:ascii="仿宋" w:hAnsi="仿宋" w:eastAsia="仿宋" w:cs="仿宋"/>
          <w:color w:val="auto"/>
          <w:sz w:val="32"/>
          <w:szCs w:val="32"/>
          <w:lang w:eastAsia="zh-CN"/>
        </w:rPr>
      </w:pPr>
    </w:p>
    <w:p>
      <w:pPr>
        <w:rPr>
          <w:rFonts w:hint="eastAsia" w:ascii="仿宋" w:hAnsi="仿宋" w:eastAsia="仿宋" w:cs="仿宋"/>
          <w:color w:val="auto"/>
          <w:sz w:val="32"/>
          <w:szCs w:val="32"/>
          <w:lang w:eastAsia="zh-CN"/>
        </w:rPr>
        <w:sectPr>
          <w:pgSz w:w="16838" w:h="11906" w:orient="landscape"/>
          <w:pgMar w:top="1134" w:right="1134" w:bottom="1134" w:left="1134" w:header="851" w:footer="992" w:gutter="0"/>
          <w:pgBorders>
            <w:top w:val="none" w:sz="0" w:space="0"/>
            <w:left w:val="none" w:sz="0" w:space="0"/>
            <w:bottom w:val="none" w:sz="0" w:space="0"/>
            <w:right w:val="none" w:sz="0" w:space="0"/>
          </w:pgBorders>
          <w:cols w:space="720" w:num="1"/>
          <w:docGrid w:type="lines" w:linePitch="312" w:charSpace="0"/>
        </w:sectPr>
      </w:pPr>
    </w:p>
    <w:p>
      <w:pPr>
        <w:numPr>
          <w:ilvl w:val="0"/>
          <w:numId w:val="1"/>
        </w:numPr>
        <w:ind w:left="0" w:leftChars="0" w:firstLine="0" w:firstLineChars="0"/>
        <w:jc w:val="center"/>
        <w:rPr>
          <w:rFonts w:hint="eastAsia" w:ascii="黑体" w:hAnsi="黑体" w:eastAsia="黑体" w:cs="黑体"/>
          <w:b/>
          <w:color w:val="auto"/>
          <w:sz w:val="44"/>
          <w:szCs w:val="44"/>
        </w:rPr>
      </w:pPr>
      <w:r>
        <w:rPr>
          <w:rFonts w:hint="eastAsia" w:ascii="黑体" w:hAnsi="黑体" w:eastAsia="黑体" w:cs="黑体"/>
          <w:b/>
          <w:color w:val="auto"/>
          <w:sz w:val="44"/>
          <w:szCs w:val="44"/>
          <w:lang w:eastAsia="zh-CN"/>
        </w:rPr>
        <w:t>崇阳县教育局(汇总)2022</w:t>
      </w:r>
      <w:r>
        <w:rPr>
          <w:rFonts w:hint="eastAsia" w:ascii="黑体" w:hAnsi="黑体" w:eastAsia="黑体" w:cs="黑体"/>
          <w:b/>
          <w:color w:val="auto"/>
          <w:sz w:val="44"/>
          <w:szCs w:val="44"/>
        </w:rPr>
        <w:t>年度部门决算情况说明</w:t>
      </w:r>
    </w:p>
    <w:p>
      <w:pPr>
        <w:numPr>
          <w:ilvl w:val="0"/>
          <w:numId w:val="0"/>
        </w:numPr>
        <w:ind w:leftChars="0"/>
        <w:jc w:val="both"/>
        <w:rPr>
          <w:rFonts w:hint="eastAsia" w:ascii="黑体" w:hAnsi="黑体" w:eastAsia="黑体" w:cs="黑体"/>
          <w:b/>
          <w:color w:val="auto"/>
          <w:sz w:val="44"/>
          <w:szCs w:val="44"/>
        </w:rPr>
      </w:pPr>
    </w:p>
    <w:p>
      <w:pPr>
        <w:keepNext w:val="0"/>
        <w:keepLines w:val="0"/>
        <w:pageBreakBefore w:val="0"/>
        <w:widowControl w:val="0"/>
        <w:kinsoku/>
        <w:wordWrap/>
        <w:overflowPunct/>
        <w:topLinePunct w:val="0"/>
        <w:autoSpaceDE/>
        <w:autoSpaceDN/>
        <w:bidi w:val="0"/>
        <w:spacing w:line="240" w:lineRule="auto"/>
        <w:textAlignment w:val="auto"/>
        <w:rPr>
          <w:rFonts w:hint="eastAsia" w:ascii="仿宋" w:hAnsi="仿宋" w:eastAsia="仿宋" w:cs="仿宋"/>
          <w:b/>
          <w:bCs/>
          <w:color w:val="auto"/>
          <w:sz w:val="32"/>
          <w:szCs w:val="32"/>
        </w:rPr>
      </w:pPr>
      <w:r>
        <w:rPr>
          <w:rFonts w:hint="eastAsia" w:ascii="仿宋" w:hAnsi="仿宋" w:eastAsia="仿宋" w:cs="仿宋"/>
          <w:b/>
          <w:bCs/>
          <w:color w:val="auto"/>
          <w:sz w:val="32"/>
          <w:szCs w:val="32"/>
        </w:rPr>
        <w:t>一、</w:t>
      </w:r>
      <w:bookmarkStart w:id="0" w:name="OLE_LINK8"/>
      <w:r>
        <w:rPr>
          <w:rFonts w:hint="eastAsia" w:ascii="仿宋" w:hAnsi="仿宋" w:eastAsia="仿宋" w:cs="仿宋"/>
          <w:b/>
          <w:bCs/>
          <w:color w:val="auto"/>
          <w:sz w:val="32"/>
          <w:szCs w:val="32"/>
        </w:rPr>
        <w:t>收入支出决算总体情况</w:t>
      </w:r>
      <w:bookmarkEnd w:id="0"/>
      <w:r>
        <w:rPr>
          <w:rFonts w:hint="eastAsia" w:ascii="仿宋" w:hAnsi="仿宋" w:eastAsia="仿宋" w:cs="仿宋"/>
          <w:b/>
          <w:bCs/>
          <w:color w:val="auto"/>
          <w:sz w:val="32"/>
          <w:szCs w:val="32"/>
        </w:rPr>
        <w:t>说明</w:t>
      </w:r>
    </w:p>
    <w:p>
      <w:pPr>
        <w:spacing w:line="580" w:lineRule="exact"/>
        <w:ind w:firstLine="640" w:firstLineChars="200"/>
        <w:rPr>
          <w:rFonts w:hint="eastAsia" w:ascii="仿宋" w:hAnsi="仿宋" w:eastAsia="仿宋" w:cs="仿宋"/>
          <w:bCs/>
          <w:color w:val="auto"/>
          <w:sz w:val="32"/>
          <w:szCs w:val="32"/>
        </w:rPr>
      </w:pPr>
      <w:r>
        <w:rPr>
          <w:rFonts w:hint="eastAsia" w:ascii="仿宋" w:hAnsi="仿宋" w:eastAsia="仿宋" w:cs="仿宋"/>
          <w:color w:val="auto"/>
          <w:sz w:val="32"/>
          <w:szCs w:val="32"/>
          <w:lang w:eastAsia="zh-CN"/>
        </w:rPr>
        <w:t>2022</w:t>
      </w:r>
      <w:r>
        <w:rPr>
          <w:rFonts w:hint="eastAsia" w:ascii="仿宋" w:hAnsi="仿宋" w:eastAsia="仿宋" w:cs="仿宋"/>
          <w:color w:val="auto"/>
          <w:sz w:val="32"/>
          <w:szCs w:val="32"/>
        </w:rPr>
        <w:t>年度</w:t>
      </w:r>
      <w:bookmarkStart w:id="1" w:name="OLE_LINK4"/>
      <w:r>
        <w:rPr>
          <w:rFonts w:hint="eastAsia" w:ascii="仿宋" w:hAnsi="仿宋" w:eastAsia="仿宋" w:cs="仿宋"/>
          <w:color w:val="auto"/>
          <w:sz w:val="32"/>
          <w:szCs w:val="32"/>
        </w:rPr>
        <w:t>收</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支</w:t>
      </w:r>
      <w:r>
        <w:rPr>
          <w:rFonts w:hint="eastAsia" w:ascii="仿宋" w:hAnsi="仿宋" w:eastAsia="仿宋" w:cs="仿宋"/>
          <w:color w:val="auto"/>
          <w:sz w:val="32"/>
          <w:szCs w:val="32"/>
        </w:rPr>
        <w:t>总计</w:t>
      </w:r>
      <w:bookmarkEnd w:id="1"/>
      <w:r>
        <w:rPr>
          <w:rFonts w:hint="eastAsia" w:ascii="仿宋" w:hAnsi="仿宋" w:eastAsia="仿宋" w:cs="仿宋"/>
          <w:color w:val="auto"/>
          <w:sz w:val="32"/>
          <w:szCs w:val="32"/>
          <w:lang w:val="en-US" w:eastAsia="zh-CN"/>
        </w:rPr>
        <w:fldChar w:fldCharType="begin"/>
      </w:r>
      <w:r>
        <w:rPr>
          <w:rFonts w:hint="eastAsia" w:ascii="仿宋" w:hAnsi="仿宋" w:eastAsia="仿宋" w:cs="仿宋"/>
          <w:color w:val="auto"/>
          <w:sz w:val="32"/>
          <w:szCs w:val="32"/>
          <w:lang w:val="en-US" w:eastAsia="zh-CN"/>
        </w:rPr>
        <w:instrText xml:space="preserve"> MERGEFIELD "2022收、支总计" </w:instrText>
      </w:r>
      <w:r>
        <w:rPr>
          <w:rFonts w:hint="eastAsia" w:ascii="仿宋" w:hAnsi="仿宋" w:eastAsia="仿宋" w:cs="仿宋"/>
          <w:color w:val="auto"/>
          <w:sz w:val="32"/>
          <w:szCs w:val="32"/>
          <w:lang w:val="en-US" w:eastAsia="zh-CN"/>
        </w:rPr>
        <w:fldChar w:fldCharType="separate"/>
      </w:r>
      <w:r>
        <w:rPr>
          <w:rFonts w:hint="eastAsia" w:ascii="仿宋" w:hAnsi="仿宋" w:eastAsia="仿宋" w:cs="仿宋"/>
          <w:color w:val="auto"/>
          <w:sz w:val="32"/>
          <w:szCs w:val="32"/>
          <w:lang w:val="en-US" w:eastAsia="zh-CN"/>
        </w:rPr>
        <w:t>80272.26</w:t>
      </w:r>
      <w:r>
        <w:rPr>
          <w:rFonts w:hint="eastAsia" w:ascii="仿宋" w:hAnsi="仿宋" w:eastAsia="仿宋" w:cs="仿宋"/>
          <w:color w:val="auto"/>
          <w:sz w:val="32"/>
          <w:szCs w:val="32"/>
          <w:lang w:val="en-US" w:eastAsia="zh-CN"/>
        </w:rPr>
        <w:fldChar w:fldCharType="end"/>
      </w:r>
      <w:r>
        <w:rPr>
          <w:rFonts w:hint="eastAsia" w:ascii="仿宋" w:hAnsi="仿宋" w:eastAsia="仿宋" w:cs="仿宋"/>
          <w:color w:val="auto"/>
          <w:sz w:val="32"/>
          <w:szCs w:val="32"/>
        </w:rPr>
        <w:t>万元。与</w:t>
      </w:r>
      <w:r>
        <w:rPr>
          <w:rFonts w:hint="eastAsia" w:ascii="仿宋" w:hAnsi="仿宋" w:eastAsia="仿宋" w:cs="仿宋"/>
          <w:color w:val="auto"/>
          <w:sz w:val="32"/>
          <w:szCs w:val="32"/>
          <w:lang w:eastAsia="zh-CN"/>
        </w:rPr>
        <w:t>2021</w:t>
      </w:r>
      <w:r>
        <w:rPr>
          <w:rFonts w:hint="eastAsia" w:ascii="仿宋" w:hAnsi="仿宋" w:eastAsia="仿宋" w:cs="仿宋"/>
          <w:color w:val="auto"/>
          <w:sz w:val="32"/>
          <w:szCs w:val="32"/>
        </w:rPr>
        <w:t>年相比，</w:t>
      </w:r>
      <w:bookmarkStart w:id="2" w:name="OLE_LINK5"/>
      <w:r>
        <w:rPr>
          <w:rFonts w:hint="eastAsia" w:ascii="仿宋" w:hAnsi="仿宋" w:eastAsia="仿宋" w:cs="仿宋"/>
          <w:color w:val="auto"/>
          <w:sz w:val="32"/>
          <w:szCs w:val="32"/>
        </w:rPr>
        <w:t>收</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支总计</w:t>
      </w:r>
      <w:bookmarkEnd w:id="2"/>
      <w:r>
        <w:rPr>
          <w:rFonts w:hint="eastAsia" w:ascii="仿宋" w:hAnsi="仿宋" w:eastAsia="仿宋" w:cs="仿宋"/>
          <w:color w:val="auto"/>
          <w:sz w:val="32"/>
          <w:szCs w:val="32"/>
          <w:lang w:val="en-US" w:eastAsia="zh-CN"/>
        </w:rPr>
        <w:t>增加</w:t>
      </w:r>
      <w:r>
        <w:rPr>
          <w:rFonts w:hint="eastAsia" w:ascii="仿宋" w:hAnsi="仿宋" w:eastAsia="仿宋" w:cs="仿宋"/>
          <w:color w:val="auto"/>
          <w:sz w:val="32"/>
          <w:szCs w:val="32"/>
          <w:lang w:val="en-US" w:eastAsia="zh-CN"/>
        </w:rPr>
        <w:fldChar w:fldCharType="begin"/>
      </w:r>
      <w:r>
        <w:rPr>
          <w:rFonts w:hint="eastAsia" w:ascii="仿宋" w:hAnsi="仿宋" w:eastAsia="仿宋" w:cs="仿宋"/>
          <w:color w:val="auto"/>
          <w:sz w:val="32"/>
          <w:szCs w:val="32"/>
          <w:lang w:val="en-US" w:eastAsia="zh-CN"/>
        </w:rPr>
        <w:instrText xml:space="preserve"> MERGEFIELD "收、支总计增减" </w:instrText>
      </w:r>
      <w:r>
        <w:rPr>
          <w:rFonts w:hint="eastAsia" w:ascii="仿宋" w:hAnsi="仿宋" w:eastAsia="仿宋" w:cs="仿宋"/>
          <w:color w:val="auto"/>
          <w:sz w:val="32"/>
          <w:szCs w:val="32"/>
          <w:lang w:val="en-US" w:eastAsia="zh-CN"/>
        </w:rPr>
        <w:fldChar w:fldCharType="separate"/>
      </w:r>
      <w:r>
        <w:rPr>
          <w:rFonts w:hint="eastAsia" w:ascii="仿宋" w:hAnsi="仿宋" w:eastAsia="仿宋" w:cs="仿宋"/>
          <w:color w:val="auto"/>
          <w:sz w:val="32"/>
          <w:szCs w:val="32"/>
          <w:lang w:val="en-US" w:eastAsia="zh-CN"/>
        </w:rPr>
        <w:t>21414.79</w:t>
      </w:r>
      <w:r>
        <w:rPr>
          <w:rFonts w:hint="eastAsia" w:ascii="仿宋" w:hAnsi="仿宋" w:eastAsia="仿宋" w:cs="仿宋"/>
          <w:color w:val="auto"/>
          <w:sz w:val="32"/>
          <w:szCs w:val="32"/>
          <w:lang w:val="en-US" w:eastAsia="zh-CN"/>
        </w:rPr>
        <w:fldChar w:fldCharType="end"/>
      </w:r>
      <w:r>
        <w:rPr>
          <w:rFonts w:hint="eastAsia" w:ascii="仿宋" w:hAnsi="仿宋" w:eastAsia="仿宋" w:cs="仿宋"/>
          <w:color w:val="auto"/>
          <w:sz w:val="32"/>
          <w:szCs w:val="32"/>
        </w:rPr>
        <w:t>万</w:t>
      </w:r>
      <w:r>
        <w:rPr>
          <w:rFonts w:hint="eastAsia" w:ascii="仿宋" w:hAnsi="仿宋" w:eastAsia="仿宋" w:cs="仿宋"/>
          <w:color w:val="auto"/>
          <w:sz w:val="32"/>
          <w:szCs w:val="32"/>
          <w:lang w:val="en-US" w:eastAsia="zh-CN"/>
        </w:rPr>
        <w:t>元</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增加</w:t>
      </w:r>
      <w:r>
        <w:rPr>
          <w:rFonts w:hint="eastAsia" w:ascii="仿宋" w:hAnsi="仿宋" w:eastAsia="仿宋" w:cs="仿宋"/>
          <w:color w:val="auto"/>
          <w:sz w:val="32"/>
          <w:szCs w:val="32"/>
          <w:lang w:val="en-US" w:eastAsia="zh-CN"/>
        </w:rPr>
        <w:fldChar w:fldCharType="begin"/>
      </w:r>
      <w:r>
        <w:rPr>
          <w:rFonts w:hint="eastAsia" w:ascii="仿宋" w:hAnsi="仿宋" w:eastAsia="仿宋" w:cs="仿宋"/>
          <w:color w:val="auto"/>
          <w:sz w:val="32"/>
          <w:szCs w:val="32"/>
          <w:lang w:val="en-US" w:eastAsia="zh-CN"/>
        </w:rPr>
        <w:instrText xml:space="preserve"> MERGEFIELD "增减%" </w:instrText>
      </w:r>
      <w:r>
        <w:rPr>
          <w:rFonts w:hint="eastAsia" w:ascii="仿宋" w:hAnsi="仿宋" w:eastAsia="仿宋" w:cs="仿宋"/>
          <w:color w:val="auto"/>
          <w:sz w:val="32"/>
          <w:szCs w:val="32"/>
          <w:lang w:val="en-US" w:eastAsia="zh-CN"/>
        </w:rPr>
        <w:fldChar w:fldCharType="separate"/>
      </w:r>
      <w:r>
        <w:rPr>
          <w:rFonts w:hint="eastAsia" w:ascii="仿宋" w:hAnsi="仿宋" w:eastAsia="仿宋" w:cs="仿宋"/>
          <w:color w:val="auto"/>
          <w:sz w:val="32"/>
          <w:szCs w:val="32"/>
          <w:lang w:val="en-US" w:eastAsia="zh-CN"/>
        </w:rPr>
        <w:t>36.38</w:t>
      </w:r>
      <w:r>
        <w:rPr>
          <w:rFonts w:hint="eastAsia" w:ascii="仿宋" w:hAnsi="仿宋" w:eastAsia="仿宋" w:cs="仿宋"/>
          <w:color w:val="auto"/>
          <w:sz w:val="32"/>
          <w:szCs w:val="32"/>
          <w:lang w:val="en-US" w:eastAsia="zh-CN"/>
        </w:rPr>
        <w:fldChar w:fldCharType="end"/>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收入、支出</w:t>
      </w:r>
      <w:r>
        <w:rPr>
          <w:rFonts w:hint="eastAsia" w:ascii="仿宋" w:hAnsi="仿宋" w:eastAsia="仿宋" w:cs="仿宋"/>
          <w:color w:val="auto"/>
          <w:sz w:val="32"/>
          <w:szCs w:val="32"/>
          <w:lang w:val="en-US" w:eastAsia="zh-CN"/>
        </w:rPr>
        <w:t>增加</w:t>
      </w:r>
      <w:r>
        <w:rPr>
          <w:rFonts w:hint="eastAsia" w:ascii="仿宋" w:hAnsi="仿宋" w:eastAsia="仿宋" w:cs="仿宋"/>
          <w:color w:val="auto"/>
          <w:sz w:val="32"/>
          <w:szCs w:val="32"/>
        </w:rPr>
        <w:t>的主要原因：</w:t>
      </w:r>
      <w:r>
        <w:rPr>
          <w:rFonts w:hint="eastAsia" w:ascii="仿宋" w:hAnsi="仿宋" w:eastAsia="仿宋" w:cs="仿宋"/>
          <w:bCs/>
          <w:color w:val="auto"/>
          <w:sz w:val="32"/>
          <w:szCs w:val="32"/>
          <w:lang w:eastAsia="zh-CN"/>
        </w:rPr>
        <w:t>财政加大对教育的投入，新建崇阳县第二高级中学和崇阳县浪口中学，本年度落实了政策性奖励性绩效工资，</w:t>
      </w:r>
      <w:r>
        <w:rPr>
          <w:rFonts w:hint="eastAsia" w:ascii="仿宋" w:hAnsi="仿宋" w:eastAsia="仿宋" w:cs="仿宋"/>
          <w:color w:val="auto"/>
          <w:sz w:val="32"/>
          <w:szCs w:val="32"/>
          <w:lang w:eastAsia="zh-CN"/>
        </w:rPr>
        <w:t>财政拨款增加</w:t>
      </w:r>
      <w:r>
        <w:rPr>
          <w:rFonts w:hint="eastAsia" w:ascii="仿宋" w:hAnsi="仿宋" w:eastAsia="仿宋" w:cs="仿宋"/>
          <w:color w:val="auto"/>
          <w:sz w:val="32"/>
          <w:szCs w:val="32"/>
          <w:lang w:val="en-US" w:eastAsia="zh-CN"/>
        </w:rPr>
        <w:t>了</w:t>
      </w:r>
      <w:r>
        <w:rPr>
          <w:rFonts w:hint="eastAsia" w:ascii="仿宋" w:hAnsi="仿宋" w:eastAsia="仿宋" w:cs="仿宋"/>
          <w:bCs/>
          <w:color w:val="auto"/>
          <w:sz w:val="32"/>
          <w:szCs w:val="32"/>
        </w:rPr>
        <w:t>。</w:t>
      </w:r>
    </w:p>
    <w:p>
      <w:pPr>
        <w:pStyle w:val="2"/>
        <w:rPr>
          <w:rFonts w:hint="eastAsia"/>
          <w:color w:val="auto"/>
        </w:rPr>
      </w:pPr>
    </w:p>
    <w:p>
      <w:pPr>
        <w:keepNext w:val="0"/>
        <w:keepLines w:val="0"/>
        <w:pageBreakBefore w:val="0"/>
        <w:widowControl w:val="0"/>
        <w:kinsoku/>
        <w:wordWrap/>
        <w:overflowPunct/>
        <w:topLinePunct w:val="0"/>
        <w:autoSpaceDE/>
        <w:autoSpaceDN/>
        <w:bidi w:val="0"/>
        <w:adjustRightInd w:val="0"/>
        <w:snapToGrid w:val="0"/>
        <w:spacing w:line="240" w:lineRule="auto"/>
        <w:ind w:firstLine="600" w:firstLineChars="200"/>
        <w:jc w:val="center"/>
        <w:textAlignment w:val="auto"/>
        <w:rPr>
          <w:rFonts w:hint="eastAsia" w:ascii="FangSong_GB2312" w:hAnsi="宋体"/>
          <w:bCs/>
          <w:color w:val="auto"/>
          <w:sz w:val="30"/>
          <w:szCs w:val="30"/>
        </w:rPr>
      </w:pPr>
      <w:r>
        <w:rPr>
          <w:rFonts w:hint="eastAsia" w:ascii="FangSong_GB2312" w:hAnsi="宋体"/>
          <w:bCs/>
          <w:color w:val="auto"/>
          <w:sz w:val="30"/>
          <w:szCs w:val="30"/>
        </w:rPr>
        <w:t>图1：收、支决算总计变动情况</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FangSong_GB2312" w:hAnsi="宋体"/>
          <w:bCs/>
          <w:color w:val="auto"/>
          <w:szCs w:val="32"/>
          <w:lang w:val="en-US"/>
        </w:rPr>
      </w:pPr>
      <w:r>
        <w:rPr>
          <w:rFonts w:hint="default" w:ascii="FangSong_GB2312" w:hAnsi="宋体"/>
          <w:bCs/>
          <w:color w:val="auto"/>
          <w:szCs w:val="32"/>
          <w:lang w:val="en-US"/>
        </w:rPr>
        <w:drawing>
          <wp:inline distT="0" distB="0" distL="114300" distR="114300">
            <wp:extent cx="5270500" cy="3126740"/>
            <wp:effectExtent l="0" t="0" r="6350" b="16510"/>
            <wp:docPr id="10" name="图片 10" descr="教育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教育局1"/>
                    <pic:cNvPicPr>
                      <a:picLocks noChangeAspect="1"/>
                    </pic:cNvPicPr>
                  </pic:nvPicPr>
                  <pic:blipFill>
                    <a:blip r:embed="rId15"/>
                    <a:stretch>
                      <a:fillRect/>
                    </a:stretch>
                  </pic:blipFill>
                  <pic:spPr>
                    <a:xfrm>
                      <a:off x="0" y="0"/>
                      <a:ext cx="5270500" cy="3126740"/>
                    </a:xfrm>
                    <a:prstGeom prst="rect">
                      <a:avLst/>
                    </a:prstGeom>
                  </pic:spPr>
                </pic:pic>
              </a:graphicData>
            </a:graphic>
          </wp:inline>
        </w:drawing>
      </w:r>
    </w:p>
    <w:p>
      <w:pPr>
        <w:pStyle w:val="2"/>
        <w:ind w:left="0" w:leftChars="0" w:firstLine="0" w:firstLineChars="0"/>
        <w:rPr>
          <w:rFonts w:hint="eastAsia"/>
        </w:rPr>
      </w:pPr>
    </w:p>
    <w:p>
      <w:pPr>
        <w:pStyle w:val="3"/>
        <w:rPr>
          <w:rFonts w:hint="eastAsia"/>
        </w:rPr>
      </w:pPr>
    </w:p>
    <w:p>
      <w:pPr>
        <w:rPr>
          <w:rFonts w:hint="eastAsia"/>
        </w:rPr>
      </w:pPr>
    </w:p>
    <w:p>
      <w:pPr>
        <w:keepNext w:val="0"/>
        <w:keepLines w:val="0"/>
        <w:pageBreakBefore w:val="0"/>
        <w:widowControl w:val="0"/>
        <w:numPr>
          <w:ilvl w:val="0"/>
          <w:numId w:val="4"/>
        </w:numPr>
        <w:kinsoku/>
        <w:wordWrap/>
        <w:overflowPunct/>
        <w:topLinePunct w:val="0"/>
        <w:autoSpaceDE/>
        <w:autoSpaceDN/>
        <w:bidi w:val="0"/>
        <w:spacing w:line="240" w:lineRule="auto"/>
        <w:textAlignment w:val="auto"/>
        <w:rPr>
          <w:rFonts w:hint="eastAsia" w:ascii="仿宋" w:hAnsi="仿宋" w:eastAsia="仿宋" w:cs="仿宋"/>
          <w:b/>
          <w:bCs/>
          <w:color w:val="auto"/>
          <w:sz w:val="32"/>
          <w:szCs w:val="32"/>
        </w:rPr>
      </w:pPr>
      <w:bookmarkStart w:id="3" w:name="OLE_LINK9"/>
      <w:r>
        <w:rPr>
          <w:rFonts w:hint="eastAsia" w:ascii="仿宋" w:hAnsi="仿宋" w:eastAsia="仿宋" w:cs="仿宋"/>
          <w:b/>
          <w:bCs/>
          <w:color w:val="auto"/>
          <w:sz w:val="32"/>
          <w:szCs w:val="32"/>
        </w:rPr>
        <w:t>收入决算情况</w:t>
      </w:r>
      <w:bookmarkEnd w:id="3"/>
      <w:r>
        <w:rPr>
          <w:rFonts w:hint="eastAsia" w:ascii="仿宋" w:hAnsi="仿宋" w:eastAsia="仿宋" w:cs="仿宋"/>
          <w:b/>
          <w:bCs/>
          <w:color w:val="auto"/>
          <w:sz w:val="32"/>
          <w:szCs w:val="32"/>
        </w:rPr>
        <w:t>说明</w:t>
      </w:r>
    </w:p>
    <w:p>
      <w:pPr>
        <w:spacing w:line="580" w:lineRule="exact"/>
        <w:ind w:firstLine="640" w:firstLineChars="200"/>
        <w:rPr>
          <w:rFonts w:hint="eastAsia" w:ascii="仿宋" w:hAnsi="仿宋" w:eastAsia="仿宋" w:cs="仿宋"/>
          <w:bCs/>
          <w:color w:val="auto"/>
          <w:sz w:val="32"/>
          <w:szCs w:val="32"/>
        </w:rPr>
      </w:pPr>
      <w:r>
        <w:rPr>
          <w:rFonts w:hint="eastAsia" w:ascii="仿宋" w:hAnsi="仿宋" w:eastAsia="仿宋" w:cs="仿宋"/>
          <w:bCs/>
          <w:color w:val="auto"/>
          <w:sz w:val="32"/>
          <w:szCs w:val="32"/>
          <w:lang w:eastAsia="zh-CN"/>
        </w:rPr>
        <w:t xml:space="preserve"> 2022年度收入合计</w:t>
      </w:r>
      <w:r>
        <w:rPr>
          <w:rFonts w:hint="eastAsia" w:ascii="仿宋" w:hAnsi="仿宋" w:eastAsia="仿宋" w:cs="仿宋"/>
          <w:bCs/>
          <w:color w:val="auto"/>
          <w:sz w:val="32"/>
          <w:szCs w:val="32"/>
          <w:lang w:eastAsia="zh-CN"/>
        </w:rPr>
        <w:fldChar w:fldCharType="begin"/>
      </w:r>
      <w:r>
        <w:rPr>
          <w:rFonts w:hint="eastAsia" w:ascii="仿宋" w:hAnsi="仿宋" w:eastAsia="仿宋" w:cs="仿宋"/>
          <w:bCs/>
          <w:color w:val="auto"/>
          <w:sz w:val="32"/>
          <w:szCs w:val="32"/>
          <w:lang w:eastAsia="zh-CN"/>
        </w:rPr>
        <w:instrText xml:space="preserve"> MERGEFIELD "2022收、支总计" </w:instrText>
      </w:r>
      <w:r>
        <w:rPr>
          <w:rFonts w:hint="eastAsia" w:ascii="仿宋" w:hAnsi="仿宋" w:eastAsia="仿宋" w:cs="仿宋"/>
          <w:bCs/>
          <w:color w:val="auto"/>
          <w:sz w:val="32"/>
          <w:szCs w:val="32"/>
          <w:lang w:eastAsia="zh-CN"/>
        </w:rPr>
        <w:fldChar w:fldCharType="separate"/>
      </w:r>
      <w:r>
        <w:rPr>
          <w:rFonts w:hint="eastAsia" w:ascii="仿宋" w:hAnsi="仿宋" w:eastAsia="仿宋" w:cs="仿宋"/>
          <w:bCs/>
          <w:color w:val="auto"/>
          <w:sz w:val="32"/>
          <w:szCs w:val="32"/>
          <w:lang w:eastAsia="zh-CN"/>
        </w:rPr>
        <w:t>80272.26</w:t>
      </w:r>
      <w:r>
        <w:rPr>
          <w:rFonts w:hint="eastAsia" w:ascii="仿宋" w:hAnsi="仿宋" w:eastAsia="仿宋" w:cs="仿宋"/>
          <w:bCs/>
          <w:color w:val="auto"/>
          <w:sz w:val="32"/>
          <w:szCs w:val="32"/>
          <w:lang w:eastAsia="zh-CN"/>
        </w:rPr>
        <w:fldChar w:fldCharType="end"/>
      </w:r>
      <w:r>
        <w:rPr>
          <w:rFonts w:hint="eastAsia" w:ascii="仿宋" w:hAnsi="仿宋" w:eastAsia="仿宋" w:cs="仿宋"/>
          <w:bCs/>
          <w:color w:val="auto"/>
          <w:sz w:val="32"/>
          <w:szCs w:val="32"/>
          <w:lang w:eastAsia="zh-CN"/>
        </w:rPr>
        <w:t>万元，与2021年相比，收</w:t>
      </w:r>
      <w:r>
        <w:rPr>
          <w:rFonts w:hint="eastAsia" w:ascii="仿宋" w:hAnsi="仿宋" w:eastAsia="仿宋" w:cs="仿宋"/>
          <w:bCs/>
          <w:color w:val="auto"/>
          <w:sz w:val="32"/>
          <w:szCs w:val="32"/>
          <w:lang w:val="en-US" w:eastAsia="zh-CN"/>
        </w:rPr>
        <w:t>入合计</w:t>
      </w:r>
      <w:r>
        <w:rPr>
          <w:rFonts w:hint="eastAsia" w:ascii="仿宋" w:hAnsi="仿宋" w:eastAsia="仿宋" w:cs="仿宋"/>
          <w:bCs/>
          <w:color w:val="auto"/>
          <w:sz w:val="32"/>
          <w:szCs w:val="32"/>
          <w:lang w:eastAsia="zh-CN"/>
        </w:rPr>
        <w:t>增加</w:t>
      </w:r>
      <w:r>
        <w:rPr>
          <w:rFonts w:hint="eastAsia" w:ascii="仿宋" w:hAnsi="仿宋" w:eastAsia="仿宋" w:cs="仿宋"/>
          <w:bCs/>
          <w:color w:val="auto"/>
          <w:sz w:val="32"/>
          <w:szCs w:val="32"/>
          <w:lang w:eastAsia="zh-CN"/>
        </w:rPr>
        <w:fldChar w:fldCharType="begin"/>
      </w:r>
      <w:r>
        <w:rPr>
          <w:rFonts w:hint="eastAsia" w:ascii="仿宋" w:hAnsi="仿宋" w:eastAsia="仿宋" w:cs="仿宋"/>
          <w:bCs/>
          <w:color w:val="auto"/>
          <w:sz w:val="32"/>
          <w:szCs w:val="32"/>
          <w:lang w:eastAsia="zh-CN"/>
        </w:rPr>
        <w:instrText xml:space="preserve"> MERGEFIELD "收、支总计增减" </w:instrText>
      </w:r>
      <w:r>
        <w:rPr>
          <w:rFonts w:hint="eastAsia" w:ascii="仿宋" w:hAnsi="仿宋" w:eastAsia="仿宋" w:cs="仿宋"/>
          <w:bCs/>
          <w:color w:val="auto"/>
          <w:sz w:val="32"/>
          <w:szCs w:val="32"/>
          <w:lang w:eastAsia="zh-CN"/>
        </w:rPr>
        <w:fldChar w:fldCharType="separate"/>
      </w:r>
      <w:r>
        <w:rPr>
          <w:rFonts w:hint="eastAsia" w:ascii="仿宋" w:hAnsi="仿宋" w:eastAsia="仿宋" w:cs="仿宋"/>
          <w:bCs/>
          <w:color w:val="auto"/>
          <w:sz w:val="32"/>
          <w:szCs w:val="32"/>
          <w:lang w:eastAsia="zh-CN"/>
        </w:rPr>
        <w:t>21414.79</w:t>
      </w:r>
      <w:r>
        <w:rPr>
          <w:rFonts w:hint="eastAsia" w:ascii="仿宋" w:hAnsi="仿宋" w:eastAsia="仿宋" w:cs="仿宋"/>
          <w:bCs/>
          <w:color w:val="auto"/>
          <w:sz w:val="32"/>
          <w:szCs w:val="32"/>
          <w:lang w:eastAsia="zh-CN"/>
        </w:rPr>
        <w:fldChar w:fldCharType="end"/>
      </w:r>
      <w:r>
        <w:rPr>
          <w:rFonts w:hint="eastAsia" w:ascii="仿宋" w:hAnsi="仿宋" w:eastAsia="仿宋" w:cs="仿宋"/>
          <w:bCs/>
          <w:color w:val="auto"/>
          <w:sz w:val="32"/>
          <w:szCs w:val="32"/>
          <w:lang w:eastAsia="zh-CN"/>
        </w:rPr>
        <w:t>万元，增加</w:t>
      </w:r>
      <w:r>
        <w:rPr>
          <w:rFonts w:hint="eastAsia" w:ascii="仿宋" w:hAnsi="仿宋" w:eastAsia="仿宋" w:cs="仿宋"/>
          <w:bCs/>
          <w:color w:val="auto"/>
          <w:sz w:val="32"/>
          <w:szCs w:val="32"/>
          <w:lang w:eastAsia="zh-CN"/>
        </w:rPr>
        <w:fldChar w:fldCharType="begin"/>
      </w:r>
      <w:r>
        <w:rPr>
          <w:rFonts w:hint="eastAsia" w:ascii="仿宋" w:hAnsi="仿宋" w:eastAsia="仿宋" w:cs="仿宋"/>
          <w:bCs/>
          <w:color w:val="auto"/>
          <w:sz w:val="32"/>
          <w:szCs w:val="32"/>
          <w:lang w:eastAsia="zh-CN"/>
        </w:rPr>
        <w:instrText xml:space="preserve"> MERGEFIELD "增减%" </w:instrText>
      </w:r>
      <w:r>
        <w:rPr>
          <w:rFonts w:hint="eastAsia" w:ascii="仿宋" w:hAnsi="仿宋" w:eastAsia="仿宋" w:cs="仿宋"/>
          <w:bCs/>
          <w:color w:val="auto"/>
          <w:sz w:val="32"/>
          <w:szCs w:val="32"/>
          <w:lang w:eastAsia="zh-CN"/>
        </w:rPr>
        <w:fldChar w:fldCharType="separate"/>
      </w:r>
      <w:r>
        <w:rPr>
          <w:rFonts w:hint="eastAsia" w:ascii="仿宋" w:hAnsi="仿宋" w:eastAsia="仿宋" w:cs="仿宋"/>
          <w:bCs/>
          <w:color w:val="auto"/>
          <w:sz w:val="32"/>
          <w:szCs w:val="32"/>
          <w:lang w:eastAsia="zh-CN"/>
        </w:rPr>
        <w:t>36.38</w:t>
      </w:r>
      <w:r>
        <w:rPr>
          <w:rFonts w:hint="eastAsia" w:ascii="仿宋" w:hAnsi="仿宋" w:eastAsia="仿宋" w:cs="仿宋"/>
          <w:bCs/>
          <w:color w:val="auto"/>
          <w:sz w:val="32"/>
          <w:szCs w:val="32"/>
          <w:lang w:eastAsia="zh-CN"/>
        </w:rPr>
        <w:fldChar w:fldCharType="end"/>
      </w:r>
      <w:r>
        <w:rPr>
          <w:rFonts w:hint="eastAsia" w:ascii="仿宋" w:hAnsi="仿宋" w:eastAsia="仿宋" w:cs="仿宋"/>
          <w:bCs/>
          <w:color w:val="auto"/>
          <w:sz w:val="32"/>
          <w:szCs w:val="32"/>
          <w:lang w:eastAsia="zh-CN"/>
        </w:rPr>
        <w:t>%，收入增加的主要原因：财政加大对教育的投入，新建崇阳县第二高级中学和崇阳县浪口中学，本年度落实了政策性奖励性绩效工资，</w:t>
      </w:r>
      <w:r>
        <w:rPr>
          <w:rFonts w:hint="eastAsia" w:ascii="仿宋" w:hAnsi="仿宋" w:eastAsia="仿宋" w:cs="仿宋"/>
          <w:color w:val="auto"/>
          <w:sz w:val="32"/>
          <w:szCs w:val="32"/>
          <w:lang w:eastAsia="zh-CN"/>
        </w:rPr>
        <w:t>财政拨款增加</w:t>
      </w:r>
      <w:r>
        <w:rPr>
          <w:rFonts w:hint="eastAsia" w:ascii="仿宋" w:hAnsi="仿宋" w:eastAsia="仿宋" w:cs="仿宋"/>
          <w:color w:val="auto"/>
          <w:sz w:val="32"/>
          <w:szCs w:val="32"/>
          <w:lang w:val="en-US" w:eastAsia="zh-CN"/>
        </w:rPr>
        <w:t>了</w:t>
      </w:r>
      <w:r>
        <w:rPr>
          <w:rFonts w:hint="eastAsia" w:ascii="仿宋" w:hAnsi="仿宋" w:eastAsia="仿宋" w:cs="仿宋"/>
          <w:bCs/>
          <w:color w:val="auto"/>
          <w:sz w:val="32"/>
          <w:szCs w:val="32"/>
        </w:rPr>
        <w:t>。</w:t>
      </w:r>
    </w:p>
    <w:p>
      <w:pPr>
        <w:numPr>
          <w:ilvl w:val="0"/>
          <w:numId w:val="0"/>
        </w:numPr>
        <w:ind w:firstLine="640" w:firstLineChars="200"/>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其中：</w:t>
      </w:r>
      <w:bookmarkStart w:id="4" w:name="OLE_LINK7"/>
      <w:r>
        <w:rPr>
          <w:rFonts w:hint="eastAsia" w:ascii="仿宋" w:hAnsi="仿宋" w:eastAsia="仿宋" w:cs="仿宋"/>
          <w:bCs/>
          <w:color w:val="auto"/>
          <w:sz w:val="32"/>
          <w:szCs w:val="32"/>
          <w:lang w:eastAsia="zh-CN"/>
        </w:rPr>
        <w:t>财政拨款收入</w:t>
      </w:r>
      <w:bookmarkEnd w:id="4"/>
      <w:r>
        <w:rPr>
          <w:rFonts w:hint="eastAsia" w:ascii="仿宋" w:hAnsi="仿宋" w:eastAsia="仿宋" w:cs="仿宋"/>
          <w:bCs/>
          <w:color w:val="auto"/>
          <w:sz w:val="32"/>
          <w:szCs w:val="32"/>
          <w:lang w:eastAsia="zh-CN"/>
        </w:rPr>
        <w:fldChar w:fldCharType="begin"/>
      </w:r>
      <w:r>
        <w:rPr>
          <w:rFonts w:hint="eastAsia" w:ascii="仿宋" w:hAnsi="仿宋" w:eastAsia="仿宋" w:cs="仿宋"/>
          <w:bCs/>
          <w:color w:val="auto"/>
          <w:sz w:val="32"/>
          <w:szCs w:val="32"/>
          <w:lang w:eastAsia="zh-CN"/>
        </w:rPr>
        <w:instrText xml:space="preserve"> MERGEFIELD "2022财政拨款收入" </w:instrText>
      </w:r>
      <w:r>
        <w:rPr>
          <w:rFonts w:hint="eastAsia" w:ascii="仿宋" w:hAnsi="仿宋" w:eastAsia="仿宋" w:cs="仿宋"/>
          <w:bCs/>
          <w:color w:val="auto"/>
          <w:sz w:val="32"/>
          <w:szCs w:val="32"/>
          <w:lang w:eastAsia="zh-CN"/>
        </w:rPr>
        <w:fldChar w:fldCharType="separate"/>
      </w:r>
      <w:r>
        <w:rPr>
          <w:rFonts w:hint="eastAsia" w:ascii="仿宋" w:hAnsi="仿宋" w:eastAsia="仿宋" w:cs="仿宋"/>
          <w:bCs/>
          <w:color w:val="auto"/>
          <w:sz w:val="32"/>
          <w:szCs w:val="32"/>
          <w:lang w:eastAsia="zh-CN"/>
        </w:rPr>
        <w:t>75506</w:t>
      </w:r>
      <w:r>
        <w:rPr>
          <w:rFonts w:hint="eastAsia" w:ascii="仿宋" w:hAnsi="仿宋" w:eastAsia="仿宋" w:cs="仿宋"/>
          <w:bCs/>
          <w:color w:val="auto"/>
          <w:sz w:val="32"/>
          <w:szCs w:val="32"/>
          <w:lang w:eastAsia="zh-CN"/>
        </w:rPr>
        <w:fldChar w:fldCharType="end"/>
      </w:r>
      <w:r>
        <w:rPr>
          <w:rFonts w:hint="eastAsia" w:ascii="仿宋" w:hAnsi="仿宋" w:eastAsia="仿宋" w:cs="仿宋"/>
          <w:bCs/>
          <w:color w:val="auto"/>
          <w:sz w:val="32"/>
          <w:szCs w:val="32"/>
          <w:lang w:eastAsia="zh-CN"/>
        </w:rPr>
        <w:t>万元，占本年收入</w:t>
      </w:r>
      <w:r>
        <w:rPr>
          <w:rFonts w:hint="eastAsia" w:ascii="仿宋" w:hAnsi="仿宋" w:eastAsia="仿宋" w:cs="仿宋"/>
          <w:bCs/>
          <w:color w:val="auto"/>
          <w:sz w:val="32"/>
          <w:szCs w:val="32"/>
          <w:lang w:eastAsia="zh-CN"/>
        </w:rPr>
        <w:fldChar w:fldCharType="begin"/>
      </w:r>
      <w:r>
        <w:rPr>
          <w:rFonts w:hint="eastAsia" w:ascii="仿宋" w:hAnsi="仿宋" w:eastAsia="仿宋" w:cs="仿宋"/>
          <w:bCs/>
          <w:color w:val="auto"/>
          <w:sz w:val="32"/>
          <w:szCs w:val="32"/>
          <w:lang w:eastAsia="zh-CN"/>
        </w:rPr>
        <w:instrText xml:space="preserve"> MERGEFIELD "占比" </w:instrText>
      </w:r>
      <w:r>
        <w:rPr>
          <w:rFonts w:hint="eastAsia" w:ascii="仿宋" w:hAnsi="仿宋" w:eastAsia="仿宋" w:cs="仿宋"/>
          <w:bCs/>
          <w:color w:val="auto"/>
          <w:sz w:val="32"/>
          <w:szCs w:val="32"/>
          <w:lang w:eastAsia="zh-CN"/>
        </w:rPr>
        <w:fldChar w:fldCharType="separate"/>
      </w:r>
      <w:r>
        <w:rPr>
          <w:rFonts w:hint="eastAsia" w:ascii="仿宋" w:hAnsi="仿宋" w:eastAsia="仿宋" w:cs="仿宋"/>
          <w:bCs/>
          <w:color w:val="auto"/>
          <w:sz w:val="32"/>
          <w:szCs w:val="32"/>
          <w:lang w:eastAsia="zh-CN"/>
        </w:rPr>
        <w:t>94.06</w:t>
      </w:r>
      <w:r>
        <w:rPr>
          <w:rFonts w:hint="eastAsia" w:ascii="仿宋" w:hAnsi="仿宋" w:eastAsia="仿宋" w:cs="仿宋"/>
          <w:bCs/>
          <w:color w:val="auto"/>
          <w:sz w:val="32"/>
          <w:szCs w:val="32"/>
          <w:lang w:eastAsia="zh-CN"/>
        </w:rPr>
        <w:fldChar w:fldCharType="end"/>
      </w:r>
      <w:r>
        <w:rPr>
          <w:rFonts w:hint="eastAsia" w:ascii="仿宋" w:hAnsi="仿宋" w:eastAsia="仿宋" w:cs="仿宋"/>
          <w:bCs/>
          <w:color w:val="auto"/>
          <w:sz w:val="32"/>
          <w:szCs w:val="32"/>
          <w:lang w:eastAsia="zh-CN"/>
        </w:rPr>
        <w:t>%；事业收入</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"事业收入收入"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4127.53</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万元，占本年收入</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"占比1"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5.14</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w:t>
      </w:r>
      <w:bookmarkStart w:id="5" w:name="OLE_LINK10"/>
      <w:r>
        <w:rPr>
          <w:rFonts w:hint="eastAsia" w:ascii="仿宋" w:hAnsi="仿宋" w:eastAsia="仿宋" w:cs="仿宋"/>
          <w:bCs/>
          <w:color w:val="auto"/>
          <w:sz w:val="32"/>
          <w:szCs w:val="32"/>
          <w:lang w:eastAsia="zh-CN"/>
        </w:rPr>
        <w:t>其他收入</w:t>
      </w:r>
      <w:bookmarkEnd w:id="5"/>
      <w:r>
        <w:rPr>
          <w:rFonts w:hint="eastAsia" w:ascii="仿宋" w:hAnsi="仿宋" w:eastAsia="仿宋" w:cs="仿宋"/>
          <w:bCs/>
          <w:color w:val="auto"/>
          <w:sz w:val="32"/>
          <w:szCs w:val="32"/>
          <w:lang w:eastAsia="zh-CN"/>
        </w:rPr>
        <w:fldChar w:fldCharType="begin"/>
      </w:r>
      <w:r>
        <w:rPr>
          <w:rFonts w:hint="eastAsia" w:ascii="仿宋" w:hAnsi="仿宋" w:eastAsia="仿宋" w:cs="仿宋"/>
          <w:bCs/>
          <w:color w:val="auto"/>
          <w:sz w:val="32"/>
          <w:szCs w:val="32"/>
          <w:lang w:eastAsia="zh-CN"/>
        </w:rPr>
        <w:instrText xml:space="preserve"> MERGEFIELD "其他收入" </w:instrText>
      </w:r>
      <w:r>
        <w:rPr>
          <w:rFonts w:hint="eastAsia" w:ascii="仿宋" w:hAnsi="仿宋" w:eastAsia="仿宋" w:cs="仿宋"/>
          <w:bCs/>
          <w:color w:val="auto"/>
          <w:sz w:val="32"/>
          <w:szCs w:val="32"/>
          <w:lang w:eastAsia="zh-CN"/>
        </w:rPr>
        <w:fldChar w:fldCharType="separate"/>
      </w:r>
      <w:r>
        <w:rPr>
          <w:rFonts w:hint="eastAsia" w:ascii="仿宋" w:hAnsi="仿宋" w:eastAsia="仿宋" w:cs="仿宋"/>
          <w:bCs/>
          <w:color w:val="auto"/>
          <w:sz w:val="32"/>
          <w:szCs w:val="32"/>
          <w:lang w:eastAsia="zh-CN"/>
        </w:rPr>
        <w:t>638.74</w:t>
      </w:r>
      <w:r>
        <w:rPr>
          <w:rFonts w:hint="eastAsia" w:ascii="仿宋" w:hAnsi="仿宋" w:eastAsia="仿宋" w:cs="仿宋"/>
          <w:bCs/>
          <w:color w:val="auto"/>
          <w:sz w:val="32"/>
          <w:szCs w:val="32"/>
          <w:lang w:eastAsia="zh-CN"/>
        </w:rPr>
        <w:fldChar w:fldCharType="end"/>
      </w:r>
      <w:r>
        <w:rPr>
          <w:rFonts w:hint="eastAsia" w:ascii="仿宋" w:hAnsi="仿宋" w:eastAsia="仿宋" w:cs="仿宋"/>
          <w:bCs/>
          <w:color w:val="auto"/>
          <w:sz w:val="32"/>
          <w:szCs w:val="32"/>
          <w:lang w:eastAsia="zh-CN"/>
        </w:rPr>
        <w:t>万元，占本年收入</w:t>
      </w:r>
      <w:r>
        <w:rPr>
          <w:rFonts w:hint="eastAsia" w:ascii="仿宋" w:hAnsi="仿宋" w:eastAsia="仿宋" w:cs="仿宋"/>
          <w:bCs/>
          <w:color w:val="auto"/>
          <w:sz w:val="32"/>
          <w:szCs w:val="32"/>
          <w:lang w:eastAsia="zh-CN"/>
        </w:rPr>
        <w:fldChar w:fldCharType="begin"/>
      </w:r>
      <w:r>
        <w:rPr>
          <w:rFonts w:hint="eastAsia" w:ascii="仿宋" w:hAnsi="仿宋" w:eastAsia="仿宋" w:cs="仿宋"/>
          <w:bCs/>
          <w:color w:val="auto"/>
          <w:sz w:val="32"/>
          <w:szCs w:val="32"/>
          <w:lang w:eastAsia="zh-CN"/>
        </w:rPr>
        <w:instrText xml:space="preserve"> MERGEFIELD "占比2" </w:instrText>
      </w:r>
      <w:r>
        <w:rPr>
          <w:rFonts w:hint="eastAsia" w:ascii="仿宋" w:hAnsi="仿宋" w:eastAsia="仿宋" w:cs="仿宋"/>
          <w:bCs/>
          <w:color w:val="auto"/>
          <w:sz w:val="32"/>
          <w:szCs w:val="32"/>
          <w:lang w:eastAsia="zh-CN"/>
        </w:rPr>
        <w:fldChar w:fldCharType="separate"/>
      </w:r>
      <w:r>
        <w:rPr>
          <w:rFonts w:hint="eastAsia" w:ascii="仿宋" w:hAnsi="仿宋" w:eastAsia="仿宋" w:cs="仿宋"/>
          <w:bCs/>
          <w:color w:val="auto"/>
          <w:sz w:val="32"/>
          <w:szCs w:val="32"/>
          <w:lang w:eastAsia="zh-CN"/>
        </w:rPr>
        <w:t>0.8</w:t>
      </w:r>
      <w:r>
        <w:rPr>
          <w:rFonts w:hint="eastAsia" w:ascii="仿宋" w:hAnsi="仿宋" w:eastAsia="仿宋" w:cs="仿宋"/>
          <w:bCs/>
          <w:color w:val="auto"/>
          <w:sz w:val="32"/>
          <w:szCs w:val="32"/>
          <w:lang w:eastAsia="zh-CN"/>
        </w:rPr>
        <w:fldChar w:fldCharType="end"/>
      </w:r>
      <w:r>
        <w:rPr>
          <w:rFonts w:hint="eastAsia" w:ascii="仿宋" w:hAnsi="仿宋" w:eastAsia="仿宋" w:cs="仿宋"/>
          <w:bCs/>
          <w:color w:val="auto"/>
          <w:sz w:val="32"/>
          <w:szCs w:val="32"/>
          <w:lang w:eastAsia="zh-CN"/>
        </w:rPr>
        <w:t>%。</w:t>
      </w:r>
    </w:p>
    <w:p>
      <w:pPr>
        <w:pStyle w:val="2"/>
        <w:rPr>
          <w:rFonts w:hint="eastAsia"/>
          <w:color w:val="auto"/>
          <w:lang w:eastAsia="zh-CN"/>
        </w:rPr>
      </w:pPr>
    </w:p>
    <w:p>
      <w:pPr>
        <w:jc w:val="center"/>
        <w:rPr>
          <w:rFonts w:hint="eastAsia" w:ascii="FangSong_GB2312" w:hAnsi="FangSong_GB2312" w:cs="FangSong_GB2312"/>
          <w:color w:val="auto"/>
          <w:sz w:val="30"/>
          <w:szCs w:val="30"/>
        </w:rPr>
      </w:pPr>
      <w:r>
        <w:rPr>
          <w:rFonts w:hint="eastAsia" w:ascii="FangSong_GB2312" w:hAnsi="FangSong_GB2312" w:cs="FangSong_GB2312"/>
          <w:color w:val="auto"/>
          <w:sz w:val="30"/>
          <w:szCs w:val="30"/>
        </w:rPr>
        <w:t>图2：收入决算结构</w:t>
      </w:r>
    </w:p>
    <w:p>
      <w:pPr>
        <w:jc w:val="center"/>
        <w:rPr>
          <w:rFonts w:hint="default"/>
          <w:color w:val="auto"/>
          <w:lang w:val="en-US"/>
        </w:rPr>
      </w:pPr>
      <w:r>
        <w:rPr>
          <w:rFonts w:hint="default"/>
          <w:color w:val="auto"/>
          <w:lang w:val="en-US"/>
        </w:rPr>
        <w:drawing>
          <wp:inline distT="0" distB="0" distL="114300" distR="114300">
            <wp:extent cx="5266690" cy="3462655"/>
            <wp:effectExtent l="0" t="0" r="10160" b="4445"/>
            <wp:docPr id="11" name="图片 11" descr="教育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教育局2"/>
                    <pic:cNvPicPr>
                      <a:picLocks noChangeAspect="1"/>
                    </pic:cNvPicPr>
                  </pic:nvPicPr>
                  <pic:blipFill>
                    <a:blip r:embed="rId16"/>
                    <a:stretch>
                      <a:fillRect/>
                    </a:stretch>
                  </pic:blipFill>
                  <pic:spPr>
                    <a:xfrm>
                      <a:off x="0" y="0"/>
                      <a:ext cx="5266690" cy="3462655"/>
                    </a:xfrm>
                    <a:prstGeom prst="rect">
                      <a:avLst/>
                    </a:prstGeom>
                  </pic:spPr>
                </pic:pic>
              </a:graphicData>
            </a:graphic>
          </wp:inline>
        </w:drawing>
      </w:r>
    </w:p>
    <w:p>
      <w:pPr>
        <w:spacing w:line="580" w:lineRule="exact"/>
        <w:ind w:firstLine="640" w:firstLineChars="200"/>
        <w:rPr>
          <w:rFonts w:hint="eastAsia" w:ascii="仿宋" w:hAnsi="仿宋" w:eastAsia="仿宋" w:cs="仿宋"/>
          <w:color w:val="auto"/>
          <w:sz w:val="32"/>
          <w:szCs w:val="32"/>
          <w:lang w:eastAsia="zh-CN"/>
        </w:rPr>
      </w:pPr>
    </w:p>
    <w:p>
      <w:pPr>
        <w:numPr>
          <w:ilvl w:val="0"/>
          <w:numId w:val="0"/>
        </w:numPr>
        <w:ind w:leftChars="0"/>
        <w:rPr>
          <w:rFonts w:hint="eastAsia" w:ascii="仿宋" w:hAnsi="仿宋" w:eastAsia="仿宋" w:cs="仿宋"/>
          <w:b/>
          <w:bCs/>
          <w:color w:val="auto"/>
          <w:sz w:val="32"/>
          <w:szCs w:val="32"/>
        </w:rPr>
      </w:pPr>
      <w:bookmarkStart w:id="6" w:name="OLE_LINK11"/>
    </w:p>
    <w:p>
      <w:pPr>
        <w:numPr>
          <w:ilvl w:val="0"/>
          <w:numId w:val="0"/>
        </w:numPr>
        <w:ind w:leftChars="0"/>
        <w:rPr>
          <w:rFonts w:hint="eastAsia" w:ascii="仿宋" w:hAnsi="仿宋" w:eastAsia="仿宋" w:cs="仿宋"/>
          <w:b/>
          <w:bCs/>
          <w:color w:val="auto"/>
          <w:sz w:val="32"/>
          <w:szCs w:val="32"/>
        </w:rPr>
      </w:pPr>
      <w:r>
        <w:rPr>
          <w:rFonts w:hint="eastAsia" w:ascii="仿宋" w:hAnsi="仿宋" w:eastAsia="仿宋" w:cs="仿宋"/>
          <w:b/>
          <w:bCs/>
          <w:color w:val="auto"/>
          <w:sz w:val="32"/>
          <w:szCs w:val="32"/>
          <w:lang w:val="en-US" w:eastAsia="zh-CN"/>
        </w:rPr>
        <w:t>三、</w:t>
      </w:r>
      <w:r>
        <w:rPr>
          <w:rFonts w:hint="eastAsia" w:ascii="仿宋" w:hAnsi="仿宋" w:eastAsia="仿宋" w:cs="仿宋"/>
          <w:b/>
          <w:bCs/>
          <w:color w:val="auto"/>
          <w:sz w:val="32"/>
          <w:szCs w:val="32"/>
        </w:rPr>
        <w:t>支出决算情况</w:t>
      </w:r>
      <w:bookmarkEnd w:id="6"/>
      <w:r>
        <w:rPr>
          <w:rFonts w:hint="eastAsia" w:ascii="仿宋" w:hAnsi="仿宋" w:eastAsia="仿宋" w:cs="仿宋"/>
          <w:b/>
          <w:bCs/>
          <w:color w:val="auto"/>
          <w:sz w:val="32"/>
          <w:szCs w:val="32"/>
        </w:rPr>
        <w:t>说明</w:t>
      </w:r>
    </w:p>
    <w:p>
      <w:pPr>
        <w:spacing w:line="580" w:lineRule="exact"/>
        <w:ind w:firstLine="640" w:firstLineChars="200"/>
        <w:rPr>
          <w:rFonts w:hint="eastAsia" w:ascii="仿宋" w:hAnsi="仿宋" w:eastAsia="仿宋" w:cs="仿宋"/>
          <w:bCs/>
          <w:color w:val="auto"/>
          <w:sz w:val="32"/>
          <w:szCs w:val="32"/>
        </w:rPr>
      </w:pPr>
      <w:r>
        <w:rPr>
          <w:rFonts w:hint="eastAsia" w:ascii="仿宋" w:hAnsi="仿宋" w:eastAsia="仿宋" w:cs="仿宋"/>
          <w:bCs/>
          <w:color w:val="auto"/>
          <w:sz w:val="32"/>
          <w:szCs w:val="32"/>
          <w:lang w:eastAsia="zh-CN"/>
        </w:rPr>
        <w:t>2022年度支</w:t>
      </w:r>
      <w:bookmarkStart w:id="7" w:name="OLE_LINK12"/>
      <w:r>
        <w:rPr>
          <w:rFonts w:hint="eastAsia" w:ascii="仿宋" w:hAnsi="仿宋" w:eastAsia="仿宋" w:cs="仿宋"/>
          <w:bCs/>
          <w:color w:val="auto"/>
          <w:sz w:val="32"/>
          <w:szCs w:val="32"/>
          <w:lang w:eastAsia="zh-CN"/>
        </w:rPr>
        <w:t>出合计</w:t>
      </w:r>
      <w:bookmarkEnd w:id="7"/>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"2022支出合计"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80272.26</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万元，与2021年度相比，</w:t>
      </w:r>
      <w:bookmarkStart w:id="8" w:name="OLE_LINK13"/>
      <w:r>
        <w:rPr>
          <w:rFonts w:hint="eastAsia" w:ascii="仿宋" w:hAnsi="仿宋" w:eastAsia="仿宋" w:cs="仿宋"/>
          <w:bCs/>
          <w:color w:val="auto"/>
          <w:sz w:val="32"/>
          <w:szCs w:val="32"/>
          <w:lang w:eastAsia="zh-CN"/>
        </w:rPr>
        <w:t>支出合计</w:t>
      </w:r>
      <w:bookmarkEnd w:id="8"/>
      <w:r>
        <w:rPr>
          <w:rFonts w:hint="eastAsia" w:ascii="仿宋" w:hAnsi="仿宋" w:eastAsia="仿宋" w:cs="仿宋"/>
          <w:bCs/>
          <w:color w:val="auto"/>
          <w:sz w:val="32"/>
          <w:szCs w:val="32"/>
          <w:lang w:val="en-US" w:eastAsia="zh-CN"/>
        </w:rPr>
        <w:t>增加</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"支出合计增减"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21414.79</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万元，</w:t>
      </w:r>
      <w:r>
        <w:rPr>
          <w:rFonts w:hint="eastAsia" w:ascii="仿宋" w:hAnsi="仿宋" w:eastAsia="仿宋" w:cs="仿宋"/>
          <w:bCs/>
          <w:color w:val="auto"/>
          <w:sz w:val="32"/>
          <w:szCs w:val="32"/>
          <w:lang w:val="en-US" w:eastAsia="zh-CN"/>
        </w:rPr>
        <w:t>增加</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"增减%1"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36.38</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%，主要原因是财政加大对教育的投入，新建崇阳县第二高级中学和崇阳县浪口中学，本年度落实了政策性奖励性绩效工资，</w:t>
      </w:r>
      <w:r>
        <w:rPr>
          <w:rFonts w:hint="eastAsia" w:ascii="仿宋" w:hAnsi="仿宋" w:eastAsia="仿宋" w:cs="仿宋"/>
          <w:color w:val="auto"/>
          <w:sz w:val="32"/>
          <w:szCs w:val="32"/>
          <w:lang w:eastAsia="zh-CN"/>
        </w:rPr>
        <w:t>财政拨款增加</w:t>
      </w:r>
      <w:r>
        <w:rPr>
          <w:rFonts w:hint="eastAsia" w:ascii="仿宋" w:hAnsi="仿宋" w:eastAsia="仿宋" w:cs="仿宋"/>
          <w:color w:val="auto"/>
          <w:sz w:val="32"/>
          <w:szCs w:val="32"/>
          <w:lang w:val="en-US" w:eastAsia="zh-CN"/>
        </w:rPr>
        <w:t>了</w:t>
      </w:r>
      <w:r>
        <w:rPr>
          <w:rFonts w:hint="eastAsia" w:ascii="仿宋" w:hAnsi="仿宋" w:eastAsia="仿宋" w:cs="仿宋"/>
          <w:bCs/>
          <w:color w:val="auto"/>
          <w:sz w:val="32"/>
          <w:szCs w:val="32"/>
        </w:rPr>
        <w:t>。</w:t>
      </w:r>
    </w:p>
    <w:p>
      <w:pPr>
        <w:numPr>
          <w:ilvl w:val="0"/>
          <w:numId w:val="0"/>
        </w:numPr>
        <w:ind w:firstLine="640" w:firstLineChars="200"/>
        <w:rPr>
          <w:rFonts w:hint="eastAsia" w:ascii="FangSong_GB2312" w:hAnsi="FangSong_GB2312" w:cs="FangSong_GB2312"/>
          <w:color w:val="auto"/>
          <w:sz w:val="30"/>
          <w:szCs w:val="30"/>
          <w:shd w:val="clear" w:color="auto" w:fill="auto"/>
        </w:rPr>
      </w:pPr>
      <w:r>
        <w:rPr>
          <w:rFonts w:hint="eastAsia" w:ascii="仿宋" w:hAnsi="仿宋" w:eastAsia="仿宋" w:cs="仿宋"/>
          <w:bCs/>
          <w:color w:val="auto"/>
          <w:sz w:val="32"/>
          <w:szCs w:val="32"/>
          <w:lang w:eastAsia="zh-CN"/>
        </w:rPr>
        <w:t>其中：</w:t>
      </w:r>
      <w:bookmarkStart w:id="9" w:name="OLE_LINK15"/>
      <w:r>
        <w:rPr>
          <w:rFonts w:hint="eastAsia" w:ascii="仿宋" w:hAnsi="仿宋" w:eastAsia="仿宋" w:cs="仿宋"/>
          <w:bCs/>
          <w:color w:val="auto"/>
          <w:sz w:val="32"/>
          <w:szCs w:val="32"/>
          <w:lang w:eastAsia="zh-CN"/>
        </w:rPr>
        <w:t>基本支出</w:t>
      </w:r>
      <w:bookmarkEnd w:id="9"/>
      <w:r>
        <w:rPr>
          <w:rFonts w:hint="eastAsia" w:ascii="仿宋" w:hAnsi="仿宋" w:eastAsia="仿宋" w:cs="仿宋"/>
          <w:bCs/>
          <w:color w:val="auto"/>
          <w:sz w:val="32"/>
          <w:szCs w:val="32"/>
          <w:lang w:eastAsia="zh-CN"/>
        </w:rPr>
        <w:fldChar w:fldCharType="begin"/>
      </w:r>
      <w:r>
        <w:rPr>
          <w:rFonts w:hint="eastAsia" w:ascii="仿宋" w:hAnsi="仿宋" w:eastAsia="仿宋" w:cs="仿宋"/>
          <w:bCs/>
          <w:color w:val="auto"/>
          <w:sz w:val="32"/>
          <w:szCs w:val="32"/>
          <w:lang w:eastAsia="zh-CN"/>
        </w:rPr>
        <w:instrText xml:space="preserve"> MERGEFIELD "基本支出" </w:instrText>
      </w:r>
      <w:r>
        <w:rPr>
          <w:rFonts w:hint="eastAsia" w:ascii="仿宋" w:hAnsi="仿宋" w:eastAsia="仿宋" w:cs="仿宋"/>
          <w:bCs/>
          <w:color w:val="auto"/>
          <w:sz w:val="32"/>
          <w:szCs w:val="32"/>
          <w:lang w:eastAsia="zh-CN"/>
        </w:rPr>
        <w:fldChar w:fldCharType="separate"/>
      </w:r>
      <w:r>
        <w:rPr>
          <w:rFonts w:hint="eastAsia" w:ascii="仿宋" w:hAnsi="仿宋" w:eastAsia="仿宋" w:cs="仿宋"/>
          <w:bCs/>
          <w:color w:val="auto"/>
          <w:sz w:val="32"/>
          <w:szCs w:val="32"/>
          <w:lang w:eastAsia="zh-CN"/>
        </w:rPr>
        <w:t>66414.79</w:t>
      </w:r>
      <w:r>
        <w:rPr>
          <w:rFonts w:hint="eastAsia" w:ascii="仿宋" w:hAnsi="仿宋" w:eastAsia="仿宋" w:cs="仿宋"/>
          <w:bCs/>
          <w:color w:val="auto"/>
          <w:sz w:val="32"/>
          <w:szCs w:val="32"/>
          <w:lang w:eastAsia="zh-CN"/>
        </w:rPr>
        <w:fldChar w:fldCharType="end"/>
      </w:r>
      <w:r>
        <w:rPr>
          <w:rFonts w:hint="eastAsia" w:ascii="仿宋" w:hAnsi="仿宋" w:eastAsia="仿宋" w:cs="仿宋"/>
          <w:bCs/>
          <w:color w:val="auto"/>
          <w:sz w:val="32"/>
          <w:szCs w:val="32"/>
          <w:lang w:eastAsia="zh-CN"/>
        </w:rPr>
        <w:t>万元，占本年支出</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"占比3"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82.74</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w:t>
      </w:r>
      <w:bookmarkStart w:id="10" w:name="OLE_LINK16"/>
      <w:r>
        <w:rPr>
          <w:rFonts w:hint="eastAsia" w:ascii="仿宋" w:hAnsi="仿宋" w:eastAsia="仿宋" w:cs="仿宋"/>
          <w:bCs/>
          <w:color w:val="auto"/>
          <w:sz w:val="32"/>
          <w:szCs w:val="32"/>
          <w:lang w:eastAsia="zh-CN"/>
        </w:rPr>
        <w:t>项目支出</w:t>
      </w:r>
      <w:bookmarkEnd w:id="10"/>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"项目支出"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13857.47</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万元，占本年支出</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"占比4"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17.26</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w:t>
      </w:r>
    </w:p>
    <w:p>
      <w:pPr>
        <w:jc w:val="center"/>
        <w:rPr>
          <w:rFonts w:hint="eastAsia" w:ascii="FangSong_GB2312" w:hAnsi="FangSong_GB2312" w:cs="FangSong_GB2312"/>
          <w:color w:val="auto"/>
          <w:sz w:val="30"/>
          <w:szCs w:val="30"/>
          <w:shd w:val="clear" w:color="auto" w:fill="auto"/>
        </w:rPr>
      </w:pPr>
    </w:p>
    <w:p>
      <w:pPr>
        <w:jc w:val="center"/>
        <w:rPr>
          <w:rFonts w:hint="eastAsia" w:ascii="FangSong_GB2312" w:hAnsi="FangSong_GB2312" w:cs="FangSong_GB2312"/>
          <w:color w:val="auto"/>
          <w:sz w:val="30"/>
          <w:szCs w:val="30"/>
          <w:shd w:val="clear" w:color="auto" w:fill="auto"/>
        </w:rPr>
      </w:pPr>
      <w:r>
        <w:rPr>
          <w:rFonts w:hint="eastAsia" w:ascii="FangSong_GB2312" w:hAnsi="FangSong_GB2312" w:cs="FangSong_GB2312"/>
          <w:color w:val="auto"/>
          <w:sz w:val="30"/>
          <w:szCs w:val="30"/>
          <w:shd w:val="clear" w:color="auto" w:fill="auto"/>
        </w:rPr>
        <w:t>图3：支出决算结构</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仿宋" w:hAnsi="仿宋" w:eastAsia="仿宋" w:cs="仿宋"/>
          <w:bCs/>
          <w:color w:val="auto"/>
          <w:sz w:val="32"/>
          <w:szCs w:val="32"/>
          <w:shd w:val="clear" w:color="auto" w:fill="auto"/>
          <w:lang w:val="en-US"/>
        </w:rPr>
      </w:pPr>
      <w:r>
        <w:rPr>
          <w:rFonts w:hint="default" w:ascii="仿宋" w:hAnsi="仿宋" w:eastAsia="仿宋" w:cs="仿宋"/>
          <w:bCs/>
          <w:color w:val="auto"/>
          <w:sz w:val="32"/>
          <w:szCs w:val="32"/>
          <w:shd w:val="clear" w:color="auto" w:fill="auto"/>
          <w:lang w:val="en-US"/>
        </w:rPr>
        <w:drawing>
          <wp:inline distT="0" distB="0" distL="114300" distR="114300">
            <wp:extent cx="5273040" cy="3304540"/>
            <wp:effectExtent l="0" t="0" r="0" b="0"/>
            <wp:docPr id="12" name="图片 12" descr="教育局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教育局3"/>
                    <pic:cNvPicPr>
                      <a:picLocks noChangeAspect="1"/>
                    </pic:cNvPicPr>
                  </pic:nvPicPr>
                  <pic:blipFill>
                    <a:blip r:embed="rId17"/>
                    <a:srcRect b="3576"/>
                    <a:stretch>
                      <a:fillRect/>
                    </a:stretch>
                  </pic:blipFill>
                  <pic:spPr>
                    <a:xfrm>
                      <a:off x="0" y="0"/>
                      <a:ext cx="5273040" cy="33045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Cs/>
          <w:color w:val="auto"/>
          <w:sz w:val="32"/>
          <w:szCs w:val="32"/>
          <w:shd w:val="clear" w:color="auto" w:fill="auto"/>
        </w:rPr>
      </w:pPr>
    </w:p>
    <w:p>
      <w:pPr>
        <w:pStyle w:val="2"/>
        <w:rPr>
          <w:rFonts w:hint="eastAsia" w:ascii="仿宋" w:hAnsi="仿宋" w:eastAsia="仿宋" w:cs="仿宋"/>
          <w:bCs/>
          <w:color w:val="auto"/>
          <w:sz w:val="32"/>
          <w:szCs w:val="32"/>
          <w:shd w:val="clear" w:color="auto" w:fill="auto"/>
        </w:rPr>
      </w:pPr>
    </w:p>
    <w:p>
      <w:pPr>
        <w:pStyle w:val="3"/>
        <w:rPr>
          <w:rFonts w:hint="eastAsia" w:ascii="仿宋" w:hAnsi="仿宋" w:eastAsia="仿宋" w:cs="仿宋"/>
          <w:bCs/>
          <w:color w:val="auto"/>
          <w:sz w:val="32"/>
          <w:szCs w:val="32"/>
          <w:shd w:val="clear" w:color="auto" w:fill="auto"/>
        </w:rPr>
      </w:pPr>
    </w:p>
    <w:p>
      <w:pPr>
        <w:rPr>
          <w:rFonts w:hint="eastAsia"/>
        </w:rPr>
      </w:pPr>
    </w:p>
    <w:p>
      <w:pPr>
        <w:numPr>
          <w:ilvl w:val="0"/>
          <w:numId w:val="0"/>
        </w:numPr>
        <w:ind w:leftChars="0"/>
        <w:rPr>
          <w:rFonts w:hint="eastAsia" w:ascii="仿宋" w:hAnsi="仿宋" w:eastAsia="仿宋" w:cs="仿宋"/>
          <w:b/>
          <w:bCs/>
          <w:color w:val="auto"/>
          <w:sz w:val="32"/>
          <w:szCs w:val="32"/>
          <w:shd w:val="clear" w:color="auto" w:fill="auto"/>
        </w:rPr>
      </w:pPr>
      <w:bookmarkStart w:id="11" w:name="OLE_LINK17"/>
      <w:r>
        <w:rPr>
          <w:rFonts w:hint="eastAsia" w:ascii="仿宋" w:hAnsi="仿宋" w:eastAsia="仿宋" w:cs="仿宋"/>
          <w:b/>
          <w:bCs/>
          <w:color w:val="auto"/>
          <w:sz w:val="32"/>
          <w:szCs w:val="32"/>
          <w:shd w:val="clear" w:color="auto" w:fill="auto"/>
          <w:lang w:val="en-US" w:eastAsia="zh-CN"/>
        </w:rPr>
        <w:t>四、</w:t>
      </w:r>
      <w:r>
        <w:rPr>
          <w:rFonts w:hint="eastAsia" w:ascii="仿宋" w:hAnsi="仿宋" w:eastAsia="仿宋" w:cs="仿宋"/>
          <w:b/>
          <w:bCs/>
          <w:color w:val="auto"/>
          <w:sz w:val="32"/>
          <w:szCs w:val="32"/>
          <w:shd w:val="clear" w:color="auto" w:fill="auto"/>
        </w:rPr>
        <w:t>财政拨款收入支出决算</w:t>
      </w:r>
      <w:bookmarkEnd w:id="11"/>
      <w:r>
        <w:rPr>
          <w:rFonts w:hint="eastAsia" w:ascii="仿宋" w:hAnsi="仿宋" w:eastAsia="仿宋" w:cs="仿宋"/>
          <w:b/>
          <w:bCs/>
          <w:color w:val="auto"/>
          <w:sz w:val="32"/>
          <w:szCs w:val="32"/>
          <w:shd w:val="clear" w:color="auto" w:fill="auto"/>
        </w:rPr>
        <w:t>总体情况说明</w:t>
      </w:r>
    </w:p>
    <w:p>
      <w:pPr>
        <w:spacing w:line="580" w:lineRule="exact"/>
        <w:ind w:firstLine="640" w:firstLineChars="200"/>
        <w:rPr>
          <w:rFonts w:hint="eastAsia" w:ascii="仿宋" w:hAnsi="仿宋" w:eastAsia="仿宋" w:cs="仿宋"/>
          <w:bCs/>
          <w:color w:val="auto"/>
          <w:sz w:val="32"/>
          <w:szCs w:val="32"/>
        </w:rPr>
      </w:pPr>
      <w:r>
        <w:rPr>
          <w:rFonts w:hint="eastAsia" w:ascii="仿宋" w:hAnsi="仿宋" w:eastAsia="仿宋" w:cs="仿宋"/>
          <w:bCs/>
          <w:color w:val="auto"/>
          <w:sz w:val="32"/>
          <w:szCs w:val="32"/>
          <w:lang w:eastAsia="zh-CN"/>
        </w:rPr>
        <w:t>2022年度</w:t>
      </w:r>
      <w:bookmarkStart w:id="12" w:name="OLE_LINK18"/>
      <w:r>
        <w:rPr>
          <w:rFonts w:hint="eastAsia" w:ascii="仿宋" w:hAnsi="仿宋" w:eastAsia="仿宋" w:cs="仿宋"/>
          <w:bCs/>
          <w:color w:val="auto"/>
          <w:sz w:val="32"/>
          <w:szCs w:val="32"/>
          <w:lang w:eastAsia="zh-CN"/>
        </w:rPr>
        <w:t>财政拨款收、支总计</w:t>
      </w:r>
      <w:bookmarkEnd w:id="12"/>
      <w:r>
        <w:rPr>
          <w:rFonts w:hint="eastAsia" w:ascii="仿宋" w:hAnsi="仿宋" w:eastAsia="仿宋" w:cs="仿宋"/>
          <w:bCs/>
          <w:color w:val="auto"/>
          <w:sz w:val="32"/>
          <w:szCs w:val="32"/>
          <w:lang w:eastAsia="zh-CN"/>
        </w:rPr>
        <w:t>均为</w:t>
      </w:r>
      <w:r>
        <w:rPr>
          <w:rFonts w:hint="eastAsia" w:ascii="仿宋" w:hAnsi="仿宋" w:eastAsia="仿宋" w:cs="仿宋"/>
          <w:bCs/>
          <w:color w:val="auto"/>
          <w:sz w:val="32"/>
          <w:szCs w:val="32"/>
          <w:lang w:eastAsia="zh-CN"/>
        </w:rPr>
        <w:fldChar w:fldCharType="begin"/>
      </w:r>
      <w:r>
        <w:rPr>
          <w:rFonts w:hint="eastAsia" w:ascii="仿宋" w:hAnsi="仿宋" w:eastAsia="仿宋" w:cs="仿宋"/>
          <w:bCs/>
          <w:color w:val="auto"/>
          <w:sz w:val="32"/>
          <w:szCs w:val="32"/>
          <w:lang w:eastAsia="zh-CN"/>
        </w:rPr>
        <w:instrText xml:space="preserve"> MERGEFIELD "2022财政拨款收入" </w:instrText>
      </w:r>
      <w:r>
        <w:rPr>
          <w:rFonts w:hint="eastAsia" w:ascii="仿宋" w:hAnsi="仿宋" w:eastAsia="仿宋" w:cs="仿宋"/>
          <w:bCs/>
          <w:color w:val="auto"/>
          <w:sz w:val="32"/>
          <w:szCs w:val="32"/>
          <w:lang w:eastAsia="zh-CN"/>
        </w:rPr>
        <w:fldChar w:fldCharType="separate"/>
      </w:r>
      <w:r>
        <w:rPr>
          <w:rFonts w:hint="eastAsia" w:ascii="仿宋" w:hAnsi="仿宋" w:eastAsia="仿宋" w:cs="仿宋"/>
          <w:bCs/>
          <w:color w:val="auto"/>
          <w:sz w:val="32"/>
          <w:szCs w:val="32"/>
          <w:lang w:eastAsia="zh-CN"/>
        </w:rPr>
        <w:t>75506</w:t>
      </w:r>
      <w:r>
        <w:rPr>
          <w:rFonts w:hint="eastAsia" w:ascii="仿宋" w:hAnsi="仿宋" w:eastAsia="仿宋" w:cs="仿宋"/>
          <w:bCs/>
          <w:color w:val="auto"/>
          <w:sz w:val="32"/>
          <w:szCs w:val="32"/>
          <w:lang w:eastAsia="zh-CN"/>
        </w:rPr>
        <w:fldChar w:fldCharType="end"/>
      </w:r>
      <w:r>
        <w:rPr>
          <w:rFonts w:hint="eastAsia" w:ascii="仿宋" w:hAnsi="仿宋" w:eastAsia="仿宋" w:cs="仿宋"/>
          <w:bCs/>
          <w:color w:val="auto"/>
          <w:sz w:val="32"/>
          <w:szCs w:val="32"/>
          <w:lang w:eastAsia="zh-CN"/>
        </w:rPr>
        <w:t xml:space="preserve"> 万元。与2021年度相比，财政拨款收、支总计各增加</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"财政拨款增减"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21942.92</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万元，增长了</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"占比5"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40.97</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%。主要原因是财政加大对教育的投入，新建崇阳县第二高级中学和崇阳县浪口中学，本年度落实了政策性奖励性绩效工资，</w:t>
      </w:r>
      <w:r>
        <w:rPr>
          <w:rFonts w:hint="eastAsia" w:ascii="仿宋" w:hAnsi="仿宋" w:eastAsia="仿宋" w:cs="仿宋"/>
          <w:color w:val="auto"/>
          <w:sz w:val="32"/>
          <w:szCs w:val="32"/>
          <w:lang w:eastAsia="zh-CN"/>
        </w:rPr>
        <w:t>财政拨款增加</w:t>
      </w:r>
      <w:r>
        <w:rPr>
          <w:rFonts w:hint="eastAsia" w:ascii="仿宋" w:hAnsi="仿宋" w:eastAsia="仿宋" w:cs="仿宋"/>
          <w:color w:val="auto"/>
          <w:sz w:val="32"/>
          <w:szCs w:val="32"/>
          <w:lang w:val="en-US" w:eastAsia="zh-CN"/>
        </w:rPr>
        <w:t>了</w:t>
      </w:r>
      <w:r>
        <w:rPr>
          <w:rFonts w:hint="eastAsia" w:ascii="仿宋" w:hAnsi="仿宋" w:eastAsia="仿宋" w:cs="仿宋"/>
          <w:bCs/>
          <w:color w:val="auto"/>
          <w:sz w:val="32"/>
          <w:szCs w:val="32"/>
        </w:rPr>
        <w:t>。</w:t>
      </w:r>
    </w:p>
    <w:p>
      <w:pPr>
        <w:spacing w:line="580" w:lineRule="exact"/>
        <w:ind w:firstLine="640" w:firstLineChars="200"/>
        <w:rPr>
          <w:rFonts w:hint="eastAsia" w:ascii="FangSong_GB2312" w:hAnsi="FangSong_GB2312" w:cs="FangSong_GB2312"/>
          <w:color w:val="auto"/>
          <w:sz w:val="30"/>
          <w:szCs w:val="30"/>
          <w:shd w:val="clear" w:color="auto" w:fill="auto"/>
        </w:rPr>
      </w:pPr>
      <w:r>
        <w:rPr>
          <w:rFonts w:hint="eastAsia" w:ascii="仿宋" w:hAnsi="仿宋" w:eastAsia="仿宋" w:cs="仿宋"/>
          <w:bCs/>
          <w:color w:val="auto"/>
          <w:sz w:val="32"/>
          <w:szCs w:val="32"/>
          <w:lang w:eastAsia="zh-CN"/>
        </w:rPr>
        <w:t>2022年度财政拨款收入中，一般公共预算财政拨款收入</w:t>
      </w:r>
      <w:r>
        <w:rPr>
          <w:rFonts w:hint="eastAsia" w:ascii="仿宋" w:hAnsi="仿宋" w:eastAsia="仿宋" w:cs="仿宋"/>
          <w:bCs/>
          <w:color w:val="auto"/>
          <w:sz w:val="32"/>
          <w:szCs w:val="32"/>
          <w:lang w:eastAsia="zh-CN"/>
        </w:rPr>
        <w:fldChar w:fldCharType="begin"/>
      </w:r>
      <w:r>
        <w:rPr>
          <w:rFonts w:hint="eastAsia" w:ascii="仿宋" w:hAnsi="仿宋" w:eastAsia="仿宋" w:cs="仿宋"/>
          <w:bCs/>
          <w:color w:val="auto"/>
          <w:sz w:val="32"/>
          <w:szCs w:val="32"/>
          <w:lang w:eastAsia="zh-CN"/>
        </w:rPr>
        <w:instrText xml:space="preserve"> MERGEFIELD "2022财政拨款" </w:instrText>
      </w:r>
      <w:r>
        <w:rPr>
          <w:rFonts w:hint="eastAsia" w:ascii="仿宋" w:hAnsi="仿宋" w:eastAsia="仿宋" w:cs="仿宋"/>
          <w:bCs/>
          <w:color w:val="auto"/>
          <w:sz w:val="32"/>
          <w:szCs w:val="32"/>
          <w:lang w:eastAsia="zh-CN"/>
        </w:rPr>
        <w:fldChar w:fldCharType="separate"/>
      </w:r>
      <w:r>
        <w:rPr>
          <w:rFonts w:hint="eastAsia" w:ascii="仿宋" w:hAnsi="仿宋" w:eastAsia="仿宋" w:cs="仿宋"/>
          <w:bCs/>
          <w:color w:val="auto"/>
          <w:sz w:val="32"/>
          <w:szCs w:val="32"/>
          <w:lang w:eastAsia="zh-CN"/>
        </w:rPr>
        <w:t>75506</w:t>
      </w:r>
      <w:r>
        <w:rPr>
          <w:rFonts w:hint="eastAsia" w:ascii="仿宋" w:hAnsi="仿宋" w:eastAsia="仿宋" w:cs="仿宋"/>
          <w:bCs/>
          <w:color w:val="auto"/>
          <w:sz w:val="32"/>
          <w:szCs w:val="32"/>
          <w:lang w:eastAsia="zh-CN"/>
        </w:rPr>
        <w:fldChar w:fldCharType="end"/>
      </w:r>
      <w:r>
        <w:rPr>
          <w:rFonts w:hint="eastAsia" w:ascii="仿宋" w:hAnsi="仿宋" w:eastAsia="仿宋" w:cs="仿宋"/>
          <w:bCs/>
          <w:color w:val="auto"/>
          <w:sz w:val="32"/>
          <w:szCs w:val="32"/>
          <w:lang w:eastAsia="zh-CN"/>
        </w:rPr>
        <w:t>万元，比2021年度决算数增加</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"财政拨款增减"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21942.92</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万元。增加主要原因是财政加大对教育的投入，新建崇阳县第二高级中学和崇阳县浪口中学，本年度落实了政策性奖励性绩效工资，</w:t>
      </w:r>
      <w:r>
        <w:rPr>
          <w:rFonts w:hint="eastAsia" w:ascii="仿宋" w:hAnsi="仿宋" w:eastAsia="仿宋" w:cs="仿宋"/>
          <w:color w:val="auto"/>
          <w:sz w:val="32"/>
          <w:szCs w:val="32"/>
          <w:lang w:eastAsia="zh-CN"/>
        </w:rPr>
        <w:t>财政拨款增加</w:t>
      </w:r>
      <w:r>
        <w:rPr>
          <w:rFonts w:hint="eastAsia" w:ascii="仿宋" w:hAnsi="仿宋" w:eastAsia="仿宋" w:cs="仿宋"/>
          <w:color w:val="auto"/>
          <w:sz w:val="32"/>
          <w:szCs w:val="32"/>
          <w:lang w:val="en-US" w:eastAsia="zh-CN"/>
        </w:rPr>
        <w:t>了</w:t>
      </w:r>
      <w:r>
        <w:rPr>
          <w:rFonts w:hint="eastAsia" w:ascii="仿宋" w:hAnsi="仿宋" w:eastAsia="仿宋" w:cs="仿宋"/>
          <w:bCs/>
          <w:color w:val="auto"/>
          <w:sz w:val="32"/>
          <w:szCs w:val="32"/>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FangSong_GB2312" w:hAnsi="FangSong_GB2312" w:cs="FangSong_GB2312"/>
          <w:color w:val="auto"/>
          <w:sz w:val="30"/>
          <w:szCs w:val="30"/>
          <w:shd w:val="clear" w:color="auto" w:fill="auto"/>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FangSong_GB2312" w:hAnsi="FangSong_GB2312" w:cs="FangSong_GB2312"/>
          <w:color w:val="auto"/>
          <w:sz w:val="30"/>
          <w:szCs w:val="30"/>
          <w:shd w:val="clear" w:color="auto" w:fill="auto"/>
        </w:rPr>
      </w:pPr>
      <w:r>
        <w:rPr>
          <w:rFonts w:hint="eastAsia" w:ascii="FangSong_GB2312" w:hAnsi="FangSong_GB2312" w:cs="FangSong_GB2312"/>
          <w:color w:val="auto"/>
          <w:sz w:val="30"/>
          <w:szCs w:val="30"/>
          <w:shd w:val="clear" w:color="auto" w:fill="auto"/>
        </w:rPr>
        <w:t>图4：财政拨款收、支决算总计变动情况</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FangSong_GB2312" w:hAnsi="宋体"/>
          <w:bCs/>
          <w:color w:val="auto"/>
          <w:szCs w:val="32"/>
          <w:shd w:val="clear" w:color="auto" w:fill="auto"/>
          <w:lang w:val="en-US"/>
        </w:rPr>
      </w:pPr>
      <w:r>
        <w:rPr>
          <w:rFonts w:hint="default" w:ascii="FangSong_GB2312" w:hAnsi="宋体"/>
          <w:bCs/>
          <w:color w:val="auto"/>
          <w:szCs w:val="32"/>
          <w:shd w:val="clear" w:color="auto" w:fill="auto"/>
          <w:lang w:val="en-US"/>
        </w:rPr>
        <w:drawing>
          <wp:inline distT="0" distB="0" distL="114300" distR="114300">
            <wp:extent cx="5272405" cy="3136900"/>
            <wp:effectExtent l="0" t="0" r="4445" b="6350"/>
            <wp:docPr id="13" name="图片 13" descr="教育局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教育局4"/>
                    <pic:cNvPicPr>
                      <a:picLocks noChangeAspect="1"/>
                    </pic:cNvPicPr>
                  </pic:nvPicPr>
                  <pic:blipFill>
                    <a:blip r:embed="rId18"/>
                    <a:stretch>
                      <a:fillRect/>
                    </a:stretch>
                  </pic:blipFill>
                  <pic:spPr>
                    <a:xfrm>
                      <a:off x="0" y="0"/>
                      <a:ext cx="5272405" cy="31369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FangSong_GB2312" w:hAnsi="宋体"/>
          <w:bCs/>
          <w:color w:val="auto"/>
          <w:szCs w:val="32"/>
          <w:shd w:val="clear" w:color="auto" w:fill="auto"/>
        </w:rPr>
      </w:pPr>
    </w:p>
    <w:p>
      <w:pPr>
        <w:numPr>
          <w:ilvl w:val="0"/>
          <w:numId w:val="0"/>
        </w:numPr>
        <w:ind w:leftChars="0"/>
        <w:rPr>
          <w:rFonts w:hint="eastAsia" w:ascii="仿宋" w:hAnsi="仿宋" w:eastAsia="仿宋" w:cs="仿宋"/>
          <w:b/>
          <w:bCs/>
          <w:color w:val="auto"/>
          <w:sz w:val="32"/>
          <w:szCs w:val="32"/>
          <w:shd w:val="clear" w:color="auto" w:fill="auto"/>
          <w:lang w:val="en-US" w:eastAsia="zh-CN"/>
        </w:rPr>
      </w:pPr>
    </w:p>
    <w:p>
      <w:pPr>
        <w:numPr>
          <w:ilvl w:val="0"/>
          <w:numId w:val="0"/>
        </w:numPr>
        <w:ind w:leftChars="0"/>
        <w:rPr>
          <w:rFonts w:hint="eastAsia" w:ascii="仿宋" w:hAnsi="仿宋" w:eastAsia="仿宋" w:cs="仿宋"/>
          <w:b/>
          <w:bCs/>
          <w:color w:val="auto"/>
          <w:sz w:val="32"/>
          <w:szCs w:val="32"/>
          <w:shd w:val="clear" w:color="auto" w:fill="auto"/>
        </w:rPr>
      </w:pPr>
      <w:r>
        <w:rPr>
          <w:rFonts w:hint="eastAsia" w:ascii="仿宋" w:hAnsi="仿宋" w:eastAsia="仿宋" w:cs="仿宋"/>
          <w:b/>
          <w:bCs/>
          <w:color w:val="auto"/>
          <w:sz w:val="32"/>
          <w:szCs w:val="32"/>
          <w:shd w:val="clear" w:color="auto" w:fill="auto"/>
          <w:lang w:val="en-US" w:eastAsia="zh-CN"/>
        </w:rPr>
        <w:t>五、</w:t>
      </w:r>
      <w:r>
        <w:rPr>
          <w:rFonts w:hint="eastAsia" w:ascii="仿宋" w:hAnsi="仿宋" w:eastAsia="仿宋" w:cs="仿宋"/>
          <w:b/>
          <w:bCs/>
          <w:color w:val="auto"/>
          <w:sz w:val="32"/>
          <w:szCs w:val="32"/>
          <w:shd w:val="clear" w:color="auto" w:fill="auto"/>
        </w:rPr>
        <w:t>一般公共预算财政拨款支出情况说明</w:t>
      </w:r>
    </w:p>
    <w:p>
      <w:pPr>
        <w:numPr>
          <w:ilvl w:val="0"/>
          <w:numId w:val="0"/>
        </w:numPr>
        <w:ind w:firstLine="640" w:firstLineChars="200"/>
        <w:rPr>
          <w:rFonts w:hint="eastAsia" w:ascii="华文楷体" w:hAnsi="华文楷体" w:eastAsia="华文楷体" w:cs="华文楷体"/>
          <w:bCs/>
          <w:color w:val="auto"/>
          <w:sz w:val="32"/>
          <w:szCs w:val="32"/>
          <w:lang w:eastAsia="zh-CN"/>
        </w:rPr>
      </w:pPr>
      <w:r>
        <w:rPr>
          <w:rFonts w:hint="eastAsia" w:ascii="华文楷体" w:hAnsi="华文楷体" w:eastAsia="华文楷体" w:cs="华文楷体"/>
          <w:bCs/>
          <w:color w:val="auto"/>
          <w:sz w:val="32"/>
          <w:szCs w:val="32"/>
          <w:lang w:eastAsia="zh-CN"/>
        </w:rPr>
        <w:t>（一）一般公共预算财政拨款支出决算总体情况。</w:t>
      </w:r>
    </w:p>
    <w:p>
      <w:pPr>
        <w:numPr>
          <w:ilvl w:val="0"/>
          <w:numId w:val="0"/>
        </w:numPr>
        <w:ind w:firstLine="640" w:firstLineChars="200"/>
        <w:rPr>
          <w:rFonts w:hint="eastAsia" w:ascii="仿宋" w:hAnsi="仿宋" w:eastAsia="仿宋" w:cs="仿宋"/>
          <w:bCs/>
          <w:color w:val="auto"/>
          <w:sz w:val="32"/>
          <w:szCs w:val="32"/>
        </w:rPr>
      </w:pPr>
      <w:r>
        <w:rPr>
          <w:rFonts w:hint="eastAsia" w:ascii="仿宋" w:hAnsi="仿宋" w:eastAsia="仿宋" w:cs="仿宋"/>
          <w:bCs/>
          <w:color w:val="auto"/>
          <w:sz w:val="32"/>
          <w:szCs w:val="32"/>
          <w:lang w:eastAsia="zh-CN"/>
        </w:rPr>
        <w:t>2022年度</w:t>
      </w:r>
      <w:bookmarkStart w:id="13" w:name="OLE_LINK19"/>
      <w:r>
        <w:rPr>
          <w:rFonts w:hint="eastAsia" w:ascii="仿宋" w:hAnsi="仿宋" w:eastAsia="仿宋" w:cs="仿宋"/>
          <w:bCs/>
          <w:color w:val="auto"/>
          <w:sz w:val="32"/>
          <w:szCs w:val="32"/>
          <w:lang w:eastAsia="zh-CN"/>
        </w:rPr>
        <w:t>一般公共预算财政拨款支出</w:t>
      </w:r>
      <w:bookmarkEnd w:id="13"/>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"一般公共预算财政拨款支出"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75506</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万元，占本年支出合计的</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"占比6"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94.06</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%。与2021年度相比，一般公共预算财政拨款支出增加</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"增减数"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21942.92</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万元，增加</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"增减比"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40.97</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%。主要原因是财政加大对教育的投入，新建崇阳县第二高级中学和崇阳县浪口中学，本年度落实了政策性奖励性绩效工资，</w:t>
      </w:r>
      <w:r>
        <w:rPr>
          <w:rFonts w:hint="eastAsia" w:ascii="仿宋" w:hAnsi="仿宋" w:eastAsia="仿宋" w:cs="仿宋"/>
          <w:color w:val="auto"/>
          <w:sz w:val="32"/>
          <w:szCs w:val="32"/>
          <w:lang w:eastAsia="zh-CN"/>
        </w:rPr>
        <w:t>财政拨款增加</w:t>
      </w:r>
      <w:r>
        <w:rPr>
          <w:rFonts w:hint="eastAsia" w:ascii="仿宋" w:hAnsi="仿宋" w:eastAsia="仿宋" w:cs="仿宋"/>
          <w:color w:val="auto"/>
          <w:sz w:val="32"/>
          <w:szCs w:val="32"/>
          <w:lang w:val="en-US" w:eastAsia="zh-CN"/>
        </w:rPr>
        <w:t>了</w:t>
      </w:r>
      <w:r>
        <w:rPr>
          <w:rFonts w:hint="eastAsia" w:ascii="仿宋" w:hAnsi="仿宋" w:eastAsia="仿宋" w:cs="仿宋"/>
          <w:bCs/>
          <w:color w:val="auto"/>
          <w:sz w:val="32"/>
          <w:szCs w:val="32"/>
        </w:rPr>
        <w:t>。</w:t>
      </w:r>
    </w:p>
    <w:p>
      <w:pPr>
        <w:numPr>
          <w:ilvl w:val="0"/>
          <w:numId w:val="0"/>
        </w:numPr>
        <w:ind w:firstLine="640" w:firstLineChars="200"/>
        <w:rPr>
          <w:rFonts w:hint="eastAsia" w:ascii="华文楷体" w:hAnsi="华文楷体" w:eastAsia="华文楷体" w:cs="华文楷体"/>
          <w:bCs/>
          <w:color w:val="auto"/>
          <w:sz w:val="32"/>
          <w:szCs w:val="32"/>
          <w:lang w:eastAsia="zh-CN"/>
        </w:rPr>
      </w:pPr>
      <w:r>
        <w:rPr>
          <w:rFonts w:hint="eastAsia" w:ascii="华文楷体" w:hAnsi="华文楷体" w:eastAsia="华文楷体" w:cs="华文楷体"/>
          <w:bCs/>
          <w:color w:val="auto"/>
          <w:sz w:val="32"/>
          <w:szCs w:val="32"/>
          <w:lang w:eastAsia="zh-CN"/>
        </w:rPr>
        <w:t>（二）一般公共预算财政拨款支出决算结构情况。</w:t>
      </w:r>
    </w:p>
    <w:p>
      <w:pPr>
        <w:numPr>
          <w:ilvl w:val="0"/>
          <w:numId w:val="0"/>
        </w:numPr>
        <w:ind w:firstLine="640" w:firstLineChars="200"/>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2022年度一般公共预算财政拨款支出</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"一般公共预算财政拨款支出"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75506</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万元，主要用于以下方面：</w:t>
      </w:r>
    </w:p>
    <w:p>
      <w:pPr>
        <w:numPr>
          <w:ilvl w:val="0"/>
          <w:numId w:val="0"/>
        </w:numPr>
        <w:ind w:firstLine="640" w:firstLineChars="200"/>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1.</w:t>
      </w:r>
      <w:bookmarkStart w:id="14" w:name="OLE_LINK20"/>
      <w:bookmarkStart w:id="15" w:name="OLE_LINK21"/>
      <w:r>
        <w:rPr>
          <w:rFonts w:hint="eastAsia" w:ascii="仿宋" w:hAnsi="仿宋" w:eastAsia="仿宋" w:cs="仿宋"/>
          <w:bCs/>
          <w:color w:val="auto"/>
          <w:sz w:val="32"/>
          <w:szCs w:val="32"/>
          <w:lang w:eastAsia="zh-CN"/>
        </w:rPr>
        <w:t>一般公共服务支出</w:t>
      </w:r>
      <w:bookmarkEnd w:id="14"/>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类</w:t>
      </w:r>
      <w:r>
        <w:rPr>
          <w:rFonts w:hint="eastAsia" w:ascii="仿宋" w:hAnsi="仿宋" w:eastAsia="仿宋" w:cs="仿宋"/>
          <w:bCs/>
          <w:color w:val="auto"/>
          <w:sz w:val="32"/>
          <w:szCs w:val="32"/>
          <w:lang w:eastAsia="zh-CN"/>
        </w:rPr>
        <w:t>）</w:t>
      </w:r>
      <w:bookmarkEnd w:id="15"/>
      <w:r>
        <w:rPr>
          <w:rFonts w:hint="eastAsia" w:ascii="仿宋" w:hAnsi="仿宋" w:eastAsia="仿宋" w:cs="仿宋"/>
          <w:bCs/>
          <w:color w:val="auto"/>
          <w:sz w:val="32"/>
          <w:szCs w:val="32"/>
          <w:lang w:eastAsia="zh-CN"/>
        </w:rPr>
        <w:fldChar w:fldCharType="begin"/>
      </w:r>
      <w:r>
        <w:rPr>
          <w:rFonts w:hint="eastAsia" w:ascii="仿宋" w:hAnsi="仿宋" w:eastAsia="仿宋" w:cs="仿宋"/>
          <w:bCs/>
          <w:color w:val="auto"/>
          <w:sz w:val="32"/>
          <w:szCs w:val="32"/>
          <w:lang w:eastAsia="zh-CN"/>
        </w:rPr>
        <w:instrText xml:space="preserve"> MERGEFIELD "一般公共服务支出（类）" </w:instrText>
      </w:r>
      <w:r>
        <w:rPr>
          <w:rFonts w:hint="eastAsia" w:ascii="仿宋" w:hAnsi="仿宋" w:eastAsia="仿宋" w:cs="仿宋"/>
          <w:bCs/>
          <w:color w:val="auto"/>
          <w:sz w:val="32"/>
          <w:szCs w:val="32"/>
          <w:lang w:eastAsia="zh-CN"/>
        </w:rPr>
        <w:fldChar w:fldCharType="separate"/>
      </w:r>
      <w:r>
        <w:rPr>
          <w:rFonts w:hint="eastAsia" w:ascii="仿宋" w:hAnsi="仿宋" w:eastAsia="仿宋" w:cs="仿宋"/>
          <w:bCs/>
          <w:color w:val="auto"/>
          <w:sz w:val="32"/>
          <w:szCs w:val="32"/>
          <w:lang w:eastAsia="zh-CN"/>
        </w:rPr>
        <w:t>6192.25</w:t>
      </w:r>
      <w:r>
        <w:rPr>
          <w:rFonts w:hint="eastAsia" w:ascii="仿宋" w:hAnsi="仿宋" w:eastAsia="仿宋" w:cs="仿宋"/>
          <w:bCs/>
          <w:color w:val="auto"/>
          <w:sz w:val="32"/>
          <w:szCs w:val="32"/>
          <w:lang w:eastAsia="zh-CN"/>
        </w:rPr>
        <w:fldChar w:fldCharType="end"/>
      </w:r>
      <w:r>
        <w:rPr>
          <w:rFonts w:hint="eastAsia" w:ascii="仿宋" w:hAnsi="仿宋" w:eastAsia="仿宋" w:cs="仿宋"/>
          <w:bCs/>
          <w:color w:val="auto"/>
          <w:sz w:val="32"/>
          <w:szCs w:val="32"/>
          <w:lang w:eastAsia="zh-CN"/>
        </w:rPr>
        <w:t>元，占</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"占比7"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8.2</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%。主要是用于</w:t>
      </w:r>
      <w:r>
        <w:rPr>
          <w:rFonts w:hint="eastAsia" w:ascii="仿宋" w:hAnsi="仿宋" w:eastAsia="仿宋" w:cs="仿宋"/>
          <w:bCs/>
          <w:color w:val="auto"/>
          <w:sz w:val="32"/>
          <w:szCs w:val="32"/>
          <w:lang w:val="en-US" w:eastAsia="zh-CN"/>
        </w:rPr>
        <w:t>保障单位正常运转</w:t>
      </w:r>
      <w:r>
        <w:rPr>
          <w:rFonts w:hint="eastAsia" w:ascii="仿宋" w:hAnsi="仿宋" w:eastAsia="仿宋" w:cs="仿宋"/>
          <w:bCs/>
          <w:color w:val="auto"/>
          <w:sz w:val="32"/>
          <w:szCs w:val="32"/>
          <w:lang w:eastAsia="zh-CN"/>
        </w:rPr>
        <w:t>。</w:t>
      </w:r>
    </w:p>
    <w:p>
      <w:pPr>
        <w:numPr>
          <w:ilvl w:val="0"/>
          <w:numId w:val="0"/>
        </w:numPr>
        <w:ind w:firstLine="640" w:firstLineChars="200"/>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2.</w:t>
      </w:r>
      <w:bookmarkStart w:id="16" w:name="OLE_LINK22"/>
      <w:r>
        <w:rPr>
          <w:rFonts w:hint="eastAsia" w:ascii="仿宋" w:hAnsi="仿宋" w:eastAsia="仿宋" w:cs="仿宋"/>
          <w:bCs/>
          <w:color w:val="auto"/>
          <w:sz w:val="32"/>
          <w:szCs w:val="32"/>
          <w:lang w:eastAsia="zh-CN"/>
        </w:rPr>
        <w:t>教育支出（</w:t>
      </w:r>
      <w:r>
        <w:rPr>
          <w:rFonts w:hint="eastAsia" w:ascii="仿宋" w:hAnsi="仿宋" w:eastAsia="仿宋" w:cs="仿宋"/>
          <w:bCs/>
          <w:color w:val="auto"/>
          <w:sz w:val="32"/>
          <w:szCs w:val="32"/>
          <w:lang w:val="en-US" w:eastAsia="zh-CN"/>
        </w:rPr>
        <w:t>类</w:t>
      </w:r>
      <w:r>
        <w:rPr>
          <w:rFonts w:hint="eastAsia" w:ascii="仿宋" w:hAnsi="仿宋" w:eastAsia="仿宋" w:cs="仿宋"/>
          <w:bCs/>
          <w:color w:val="auto"/>
          <w:sz w:val="32"/>
          <w:szCs w:val="32"/>
          <w:lang w:eastAsia="zh-CN"/>
        </w:rPr>
        <w:t>）</w:t>
      </w:r>
      <w:bookmarkEnd w:id="16"/>
      <w:r>
        <w:rPr>
          <w:rFonts w:hint="eastAsia" w:ascii="仿宋" w:hAnsi="仿宋" w:eastAsia="仿宋" w:cs="仿宋"/>
          <w:bCs/>
          <w:color w:val="auto"/>
          <w:sz w:val="32"/>
          <w:szCs w:val="32"/>
          <w:lang w:eastAsia="zh-CN"/>
        </w:rPr>
        <w:fldChar w:fldCharType="begin"/>
      </w:r>
      <w:r>
        <w:rPr>
          <w:rFonts w:hint="eastAsia" w:ascii="仿宋" w:hAnsi="仿宋" w:eastAsia="仿宋" w:cs="仿宋"/>
          <w:bCs/>
          <w:color w:val="auto"/>
          <w:sz w:val="32"/>
          <w:szCs w:val="32"/>
          <w:lang w:eastAsia="zh-CN"/>
        </w:rPr>
        <w:instrText xml:space="preserve"> MERGEFIELD "教育支出（类）" </w:instrText>
      </w:r>
      <w:r>
        <w:rPr>
          <w:rFonts w:hint="eastAsia" w:ascii="仿宋" w:hAnsi="仿宋" w:eastAsia="仿宋" w:cs="仿宋"/>
          <w:bCs/>
          <w:color w:val="auto"/>
          <w:sz w:val="32"/>
          <w:szCs w:val="32"/>
          <w:lang w:eastAsia="zh-CN"/>
        </w:rPr>
        <w:fldChar w:fldCharType="separate"/>
      </w:r>
      <w:r>
        <w:rPr>
          <w:rFonts w:hint="eastAsia" w:ascii="仿宋" w:hAnsi="仿宋" w:eastAsia="仿宋" w:cs="仿宋"/>
          <w:bCs/>
          <w:color w:val="auto"/>
          <w:sz w:val="32"/>
          <w:szCs w:val="32"/>
          <w:lang w:eastAsia="zh-CN"/>
        </w:rPr>
        <w:t>58637.7</w:t>
      </w:r>
      <w:r>
        <w:rPr>
          <w:rFonts w:hint="eastAsia" w:ascii="仿宋" w:hAnsi="仿宋" w:eastAsia="仿宋" w:cs="仿宋"/>
          <w:bCs/>
          <w:color w:val="auto"/>
          <w:sz w:val="32"/>
          <w:szCs w:val="32"/>
          <w:lang w:eastAsia="zh-CN"/>
        </w:rPr>
        <w:fldChar w:fldCharType="end"/>
      </w:r>
      <w:r>
        <w:rPr>
          <w:rFonts w:hint="eastAsia" w:ascii="仿宋" w:hAnsi="仿宋" w:eastAsia="仿宋" w:cs="仿宋"/>
          <w:bCs/>
          <w:color w:val="auto"/>
          <w:sz w:val="32"/>
          <w:szCs w:val="32"/>
          <w:lang w:eastAsia="zh-CN"/>
        </w:rPr>
        <w:t>万元，占</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"占比8"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77.66</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%。主要是用于</w:t>
      </w:r>
      <w:r>
        <w:rPr>
          <w:rFonts w:hint="eastAsia" w:ascii="仿宋" w:hAnsi="仿宋" w:eastAsia="仿宋" w:cs="仿宋"/>
          <w:bCs/>
          <w:color w:val="auto"/>
          <w:sz w:val="32"/>
          <w:szCs w:val="32"/>
          <w:lang w:val="en-US" w:eastAsia="zh-CN"/>
        </w:rPr>
        <w:t>保障教育事业正常运转</w:t>
      </w:r>
      <w:r>
        <w:rPr>
          <w:rFonts w:hint="eastAsia" w:ascii="仿宋" w:hAnsi="仿宋" w:eastAsia="仿宋" w:cs="仿宋"/>
          <w:bCs/>
          <w:color w:val="auto"/>
          <w:sz w:val="32"/>
          <w:szCs w:val="32"/>
          <w:lang w:eastAsia="zh-CN"/>
        </w:rPr>
        <w:t>。</w:t>
      </w:r>
    </w:p>
    <w:p>
      <w:pPr>
        <w:numPr>
          <w:ilvl w:val="0"/>
          <w:numId w:val="0"/>
        </w:numPr>
        <w:ind w:firstLine="640" w:firstLineChars="200"/>
        <w:rPr>
          <w:rFonts w:hint="eastAsia" w:ascii="仿宋" w:hAnsi="仿宋" w:eastAsia="仿宋" w:cs="仿宋"/>
          <w:bCs/>
          <w:color w:val="auto"/>
          <w:sz w:val="32"/>
          <w:szCs w:val="32"/>
          <w:lang w:val="en-US" w:eastAsia="zh-CN"/>
        </w:rPr>
      </w:pPr>
      <w:r>
        <w:rPr>
          <w:rFonts w:hint="eastAsia" w:ascii="仿宋" w:hAnsi="仿宋" w:eastAsia="仿宋" w:cs="仿宋"/>
          <w:bCs/>
          <w:color w:val="auto"/>
          <w:sz w:val="32"/>
          <w:szCs w:val="32"/>
          <w:lang w:eastAsia="zh-CN"/>
        </w:rPr>
        <w:t>3.</w:t>
      </w:r>
      <w:bookmarkStart w:id="17" w:name="OLE_LINK23"/>
      <w:r>
        <w:rPr>
          <w:rFonts w:hint="eastAsia" w:ascii="仿宋" w:hAnsi="仿宋" w:eastAsia="仿宋" w:cs="仿宋"/>
          <w:bCs/>
          <w:color w:val="auto"/>
          <w:sz w:val="32"/>
          <w:szCs w:val="32"/>
          <w:lang w:eastAsia="zh-CN"/>
        </w:rPr>
        <w:t>社会保障和就业支出（</w:t>
      </w:r>
      <w:r>
        <w:rPr>
          <w:rFonts w:hint="eastAsia" w:ascii="仿宋" w:hAnsi="仿宋" w:eastAsia="仿宋" w:cs="仿宋"/>
          <w:bCs/>
          <w:color w:val="auto"/>
          <w:sz w:val="32"/>
          <w:szCs w:val="32"/>
          <w:lang w:val="en-US" w:eastAsia="zh-CN"/>
        </w:rPr>
        <w:t>类</w:t>
      </w:r>
      <w:r>
        <w:rPr>
          <w:rFonts w:hint="eastAsia" w:ascii="仿宋" w:hAnsi="仿宋" w:eastAsia="仿宋" w:cs="仿宋"/>
          <w:bCs/>
          <w:color w:val="auto"/>
          <w:sz w:val="32"/>
          <w:szCs w:val="32"/>
          <w:lang w:eastAsia="zh-CN"/>
        </w:rPr>
        <w:t>）</w:t>
      </w:r>
      <w:bookmarkEnd w:id="17"/>
      <w:r>
        <w:rPr>
          <w:rFonts w:hint="eastAsia" w:ascii="仿宋" w:hAnsi="仿宋" w:eastAsia="仿宋" w:cs="仿宋"/>
          <w:bCs/>
          <w:color w:val="auto"/>
          <w:sz w:val="32"/>
          <w:szCs w:val="32"/>
          <w:lang w:eastAsia="zh-CN"/>
        </w:rPr>
        <w:fldChar w:fldCharType="begin"/>
      </w:r>
      <w:r>
        <w:rPr>
          <w:rFonts w:hint="eastAsia" w:ascii="仿宋" w:hAnsi="仿宋" w:eastAsia="仿宋" w:cs="仿宋"/>
          <w:bCs/>
          <w:color w:val="auto"/>
          <w:sz w:val="32"/>
          <w:szCs w:val="32"/>
          <w:lang w:eastAsia="zh-CN"/>
        </w:rPr>
        <w:instrText xml:space="preserve"> MERGEFIELD "社会保障和就业支出（类）" </w:instrText>
      </w:r>
      <w:r>
        <w:rPr>
          <w:rFonts w:hint="eastAsia" w:ascii="仿宋" w:hAnsi="仿宋" w:eastAsia="仿宋" w:cs="仿宋"/>
          <w:bCs/>
          <w:color w:val="auto"/>
          <w:sz w:val="32"/>
          <w:szCs w:val="32"/>
          <w:lang w:eastAsia="zh-CN"/>
        </w:rPr>
        <w:fldChar w:fldCharType="separate"/>
      </w:r>
      <w:r>
        <w:rPr>
          <w:rFonts w:hint="eastAsia" w:ascii="仿宋" w:hAnsi="仿宋" w:eastAsia="仿宋" w:cs="仿宋"/>
          <w:bCs/>
          <w:color w:val="auto"/>
          <w:sz w:val="32"/>
          <w:szCs w:val="32"/>
          <w:lang w:eastAsia="zh-CN"/>
        </w:rPr>
        <w:t>5302.9</w:t>
      </w:r>
      <w:r>
        <w:rPr>
          <w:rFonts w:hint="eastAsia" w:ascii="仿宋" w:hAnsi="仿宋" w:eastAsia="仿宋" w:cs="仿宋"/>
          <w:bCs/>
          <w:color w:val="auto"/>
          <w:sz w:val="32"/>
          <w:szCs w:val="32"/>
          <w:lang w:eastAsia="zh-CN"/>
        </w:rPr>
        <w:fldChar w:fldCharType="end"/>
      </w:r>
      <w:r>
        <w:rPr>
          <w:rFonts w:hint="eastAsia" w:ascii="仿宋" w:hAnsi="仿宋" w:eastAsia="仿宋" w:cs="仿宋"/>
          <w:bCs/>
          <w:color w:val="auto"/>
          <w:sz w:val="32"/>
          <w:szCs w:val="32"/>
          <w:lang w:val="en-US" w:eastAsia="zh-CN"/>
        </w:rPr>
        <w:t>万元，</w:t>
      </w:r>
      <w:r>
        <w:rPr>
          <w:rFonts w:hint="eastAsia" w:ascii="仿宋" w:hAnsi="仿宋" w:eastAsia="仿宋" w:cs="仿宋"/>
          <w:bCs/>
          <w:color w:val="auto"/>
          <w:sz w:val="32"/>
          <w:szCs w:val="32"/>
          <w:lang w:eastAsia="zh-CN"/>
        </w:rPr>
        <w:t>占</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"占比9"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7.02</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%。主要是用于</w:t>
      </w:r>
      <w:r>
        <w:rPr>
          <w:rFonts w:hint="eastAsia" w:ascii="仿宋" w:hAnsi="仿宋" w:eastAsia="仿宋" w:cs="仿宋"/>
          <w:bCs/>
          <w:color w:val="auto"/>
          <w:sz w:val="32"/>
          <w:szCs w:val="32"/>
          <w:lang w:val="en-US" w:eastAsia="zh-CN"/>
        </w:rPr>
        <w:t>单位按照国家政策规定向职工发放的养老保险和失业保险等社会保障方面的支出。</w:t>
      </w:r>
    </w:p>
    <w:p>
      <w:pPr>
        <w:numPr>
          <w:ilvl w:val="0"/>
          <w:numId w:val="0"/>
        </w:numPr>
        <w:ind w:firstLine="640" w:firstLineChars="200"/>
        <w:rPr>
          <w:rFonts w:hint="eastAsia" w:ascii="仿宋" w:hAnsi="仿宋" w:eastAsia="仿宋" w:cs="仿宋"/>
          <w:bCs/>
          <w:color w:val="auto"/>
          <w:sz w:val="32"/>
          <w:szCs w:val="32"/>
          <w:lang w:val="en-US" w:eastAsia="zh-CN"/>
        </w:rPr>
      </w:pPr>
      <w:r>
        <w:rPr>
          <w:rFonts w:hint="eastAsia" w:ascii="仿宋" w:hAnsi="仿宋" w:eastAsia="仿宋" w:cs="仿宋"/>
          <w:bCs/>
          <w:color w:val="auto"/>
          <w:sz w:val="32"/>
          <w:szCs w:val="32"/>
          <w:lang w:val="en-US" w:eastAsia="zh-CN"/>
        </w:rPr>
        <w:t>4、</w:t>
      </w:r>
      <w:bookmarkStart w:id="18" w:name="OLE_LINK24"/>
      <w:r>
        <w:rPr>
          <w:rFonts w:hint="eastAsia" w:ascii="仿宋" w:hAnsi="仿宋" w:eastAsia="仿宋" w:cs="仿宋"/>
          <w:bCs/>
          <w:color w:val="auto"/>
          <w:sz w:val="32"/>
          <w:szCs w:val="32"/>
          <w:lang w:val="en-US" w:eastAsia="zh-CN"/>
        </w:rPr>
        <w:t>卫生健康支出</w:t>
      </w: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类</w:t>
      </w:r>
      <w:r>
        <w:rPr>
          <w:rFonts w:hint="eastAsia" w:ascii="仿宋" w:hAnsi="仿宋" w:eastAsia="仿宋" w:cs="仿宋"/>
          <w:bCs/>
          <w:color w:val="auto"/>
          <w:sz w:val="32"/>
          <w:szCs w:val="32"/>
          <w:lang w:eastAsia="zh-CN"/>
        </w:rPr>
        <w:t>）</w:t>
      </w:r>
      <w:bookmarkEnd w:id="18"/>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"卫生健康支出（类）"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1778.29</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val="en-US" w:eastAsia="zh-CN"/>
        </w:rPr>
        <w:t>万元，</w:t>
      </w:r>
      <w:r>
        <w:rPr>
          <w:rFonts w:hint="eastAsia" w:ascii="仿宋" w:hAnsi="仿宋" w:eastAsia="仿宋" w:cs="仿宋"/>
          <w:bCs/>
          <w:color w:val="auto"/>
          <w:sz w:val="32"/>
          <w:szCs w:val="32"/>
          <w:lang w:eastAsia="zh-CN"/>
        </w:rPr>
        <w:t>占</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"占比10"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2.36</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%。主要是用于</w:t>
      </w:r>
      <w:r>
        <w:rPr>
          <w:rFonts w:hint="eastAsia" w:ascii="仿宋" w:hAnsi="仿宋" w:eastAsia="仿宋" w:cs="仿宋"/>
          <w:bCs/>
          <w:color w:val="auto"/>
          <w:sz w:val="32"/>
          <w:szCs w:val="32"/>
          <w:lang w:val="en-US" w:eastAsia="zh-CN"/>
        </w:rPr>
        <w:t>单位按照国家政策规定向职工发放的医疗保险等卫生健康方面的支出。</w:t>
      </w:r>
    </w:p>
    <w:p>
      <w:pPr>
        <w:numPr>
          <w:ilvl w:val="0"/>
          <w:numId w:val="0"/>
        </w:numPr>
        <w:ind w:firstLine="640" w:firstLineChars="200"/>
        <w:rPr>
          <w:rFonts w:hint="eastAsia" w:ascii="仿宋" w:hAnsi="仿宋" w:eastAsia="仿宋" w:cs="仿宋"/>
          <w:bCs/>
          <w:color w:val="auto"/>
          <w:sz w:val="32"/>
          <w:szCs w:val="32"/>
          <w:lang w:val="en-US" w:eastAsia="zh-CN"/>
        </w:rPr>
      </w:pPr>
      <w:r>
        <w:rPr>
          <w:rFonts w:hint="eastAsia" w:ascii="仿宋" w:hAnsi="仿宋" w:eastAsia="仿宋" w:cs="仿宋"/>
          <w:bCs/>
          <w:color w:val="auto"/>
          <w:sz w:val="32"/>
          <w:szCs w:val="32"/>
          <w:lang w:val="en-US" w:eastAsia="zh-CN"/>
        </w:rPr>
        <w:t>5、</w:t>
      </w:r>
      <w:bookmarkStart w:id="19" w:name="OLE_LINK25"/>
      <w:r>
        <w:rPr>
          <w:rFonts w:hint="eastAsia" w:ascii="仿宋" w:hAnsi="仿宋" w:eastAsia="仿宋" w:cs="仿宋"/>
          <w:bCs/>
          <w:color w:val="auto"/>
          <w:sz w:val="32"/>
          <w:szCs w:val="32"/>
          <w:lang w:val="en-US" w:eastAsia="zh-CN"/>
        </w:rPr>
        <w:t>住房保障支出</w:t>
      </w: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类</w:t>
      </w:r>
      <w:r>
        <w:rPr>
          <w:rFonts w:hint="eastAsia" w:ascii="仿宋" w:hAnsi="仿宋" w:eastAsia="仿宋" w:cs="仿宋"/>
          <w:bCs/>
          <w:color w:val="auto"/>
          <w:sz w:val="32"/>
          <w:szCs w:val="32"/>
          <w:lang w:eastAsia="zh-CN"/>
        </w:rPr>
        <w:t>）</w:t>
      </w:r>
      <w:bookmarkEnd w:id="19"/>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"住房保障支出（类）"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3594.85</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val="en-US" w:eastAsia="zh-CN"/>
        </w:rPr>
        <w:t>万元，</w:t>
      </w:r>
      <w:r>
        <w:rPr>
          <w:rFonts w:hint="eastAsia" w:ascii="仿宋" w:hAnsi="仿宋" w:eastAsia="仿宋" w:cs="仿宋"/>
          <w:bCs/>
          <w:color w:val="auto"/>
          <w:sz w:val="32"/>
          <w:szCs w:val="32"/>
          <w:lang w:eastAsia="zh-CN"/>
        </w:rPr>
        <w:t>占</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"占比11"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4.76</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%。主要是用于</w:t>
      </w:r>
      <w:r>
        <w:rPr>
          <w:rFonts w:hint="eastAsia" w:ascii="仿宋" w:hAnsi="仿宋" w:eastAsia="仿宋" w:cs="仿宋"/>
          <w:bCs/>
          <w:color w:val="auto"/>
          <w:sz w:val="32"/>
          <w:szCs w:val="32"/>
          <w:lang w:val="en-US" w:eastAsia="zh-CN"/>
        </w:rPr>
        <w:t>单位按照国家政策规定向职工发放的住房公积金和提租补贴等住房改革方面的支出。</w:t>
      </w:r>
    </w:p>
    <w:p>
      <w:pPr>
        <w:numPr>
          <w:ilvl w:val="0"/>
          <w:numId w:val="0"/>
        </w:numPr>
        <w:ind w:firstLine="640" w:firstLineChars="200"/>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（三）财政拨款支出决算具体情况。</w:t>
      </w:r>
    </w:p>
    <w:p>
      <w:pPr>
        <w:numPr>
          <w:ilvl w:val="0"/>
          <w:numId w:val="0"/>
        </w:numPr>
        <w:ind w:firstLine="640" w:firstLineChars="200"/>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2022年度一般公共预算财政拨款支出年初预算为</w:t>
      </w:r>
      <w:r>
        <w:rPr>
          <w:rFonts w:hint="eastAsia" w:ascii="仿宋" w:hAnsi="仿宋" w:eastAsia="仿宋" w:cs="仿宋"/>
          <w:bCs/>
          <w:color w:val="auto"/>
          <w:sz w:val="32"/>
          <w:szCs w:val="32"/>
          <w:lang w:eastAsia="zh-CN"/>
        </w:rPr>
        <w:fldChar w:fldCharType="begin"/>
      </w:r>
      <w:r>
        <w:rPr>
          <w:rFonts w:hint="eastAsia" w:ascii="仿宋" w:hAnsi="仿宋" w:eastAsia="仿宋" w:cs="仿宋"/>
          <w:bCs/>
          <w:color w:val="auto"/>
          <w:sz w:val="32"/>
          <w:szCs w:val="32"/>
          <w:lang w:eastAsia="zh-CN"/>
        </w:rPr>
        <w:instrText xml:space="preserve"> MERGEFIELD "年初预算" </w:instrText>
      </w:r>
      <w:r>
        <w:rPr>
          <w:rFonts w:hint="eastAsia" w:ascii="仿宋" w:hAnsi="仿宋" w:eastAsia="仿宋" w:cs="仿宋"/>
          <w:bCs/>
          <w:color w:val="auto"/>
          <w:sz w:val="32"/>
          <w:szCs w:val="32"/>
          <w:lang w:eastAsia="zh-CN"/>
        </w:rPr>
        <w:fldChar w:fldCharType="separate"/>
      </w:r>
      <w:r>
        <w:rPr>
          <w:rFonts w:hint="eastAsia" w:ascii="仿宋" w:hAnsi="仿宋" w:eastAsia="仿宋" w:cs="仿宋"/>
          <w:bCs/>
          <w:color w:val="auto"/>
          <w:sz w:val="32"/>
          <w:szCs w:val="32"/>
          <w:lang w:eastAsia="zh-CN"/>
        </w:rPr>
        <w:t>49678.19</w:t>
      </w:r>
      <w:r>
        <w:rPr>
          <w:rFonts w:hint="eastAsia" w:ascii="仿宋" w:hAnsi="仿宋" w:eastAsia="仿宋" w:cs="仿宋"/>
          <w:bCs/>
          <w:color w:val="auto"/>
          <w:sz w:val="32"/>
          <w:szCs w:val="32"/>
          <w:lang w:eastAsia="zh-CN"/>
        </w:rPr>
        <w:fldChar w:fldCharType="end"/>
      </w:r>
      <w:r>
        <w:rPr>
          <w:rFonts w:hint="eastAsia" w:ascii="仿宋" w:hAnsi="仿宋" w:eastAsia="仿宋" w:cs="仿宋"/>
          <w:bCs/>
          <w:color w:val="auto"/>
          <w:sz w:val="32"/>
          <w:szCs w:val="32"/>
          <w:lang w:eastAsia="zh-CN"/>
        </w:rPr>
        <w:t>万元，支出决算为</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"一般公共预算财政拨款支出"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75506</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万元，完成年初预算的</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"完成年初预算的%"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151.99</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%。其中：</w:t>
      </w:r>
    </w:p>
    <w:p>
      <w:pPr>
        <w:numPr>
          <w:ilvl w:val="0"/>
          <w:numId w:val="0"/>
        </w:numPr>
        <w:ind w:firstLine="640" w:firstLineChars="200"/>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val="en-US" w:eastAsia="zh-CN"/>
        </w:rPr>
        <w:t>1、</w:t>
      </w:r>
      <w:r>
        <w:rPr>
          <w:rFonts w:hint="eastAsia" w:ascii="仿宋" w:hAnsi="仿宋" w:eastAsia="仿宋" w:cs="仿宋"/>
          <w:bCs/>
          <w:color w:val="auto"/>
          <w:sz w:val="32"/>
          <w:szCs w:val="32"/>
          <w:lang w:eastAsia="zh-CN"/>
        </w:rPr>
        <w:t>一般公共服务支出(类)。年初预算为</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"年初预算1"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6192.25</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万元，支出决算为</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"一般公共服务支出（类）"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6192.25</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万元，完成年初预算的</w:t>
      </w:r>
      <w:r>
        <w:rPr>
          <w:rFonts w:hint="eastAsia" w:ascii="仿宋" w:hAnsi="仿宋" w:eastAsia="仿宋" w:cs="仿宋"/>
          <w:bCs/>
          <w:color w:val="auto"/>
          <w:sz w:val="32"/>
          <w:szCs w:val="32"/>
          <w:lang w:val="en-US" w:eastAsia="zh-CN"/>
        </w:rPr>
        <w:t>100</w:t>
      </w:r>
      <w:r>
        <w:rPr>
          <w:rFonts w:hint="eastAsia" w:ascii="仿宋" w:hAnsi="仿宋" w:eastAsia="仿宋" w:cs="仿宋"/>
          <w:bCs/>
          <w:color w:val="auto"/>
          <w:sz w:val="32"/>
          <w:szCs w:val="32"/>
          <w:lang w:eastAsia="zh-CN"/>
        </w:rPr>
        <w:t>%。</w:t>
      </w:r>
    </w:p>
    <w:p>
      <w:pPr>
        <w:numPr>
          <w:ilvl w:val="0"/>
          <w:numId w:val="0"/>
        </w:numPr>
        <w:ind w:firstLine="640" w:firstLineChars="200"/>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val="en-US" w:eastAsia="zh-CN"/>
        </w:rPr>
        <w:t>2、</w:t>
      </w:r>
      <w:r>
        <w:rPr>
          <w:rFonts w:hint="eastAsia" w:ascii="仿宋" w:hAnsi="仿宋" w:eastAsia="仿宋" w:cs="仿宋"/>
          <w:bCs/>
          <w:color w:val="auto"/>
          <w:sz w:val="32"/>
          <w:szCs w:val="32"/>
          <w:lang w:eastAsia="zh-CN"/>
        </w:rPr>
        <w:t>教育支出（</w:t>
      </w:r>
      <w:r>
        <w:rPr>
          <w:rFonts w:hint="eastAsia" w:ascii="仿宋" w:hAnsi="仿宋" w:eastAsia="仿宋" w:cs="仿宋"/>
          <w:bCs/>
          <w:color w:val="auto"/>
          <w:sz w:val="32"/>
          <w:szCs w:val="32"/>
          <w:lang w:val="en-US" w:eastAsia="zh-CN"/>
        </w:rPr>
        <w:t>类</w:t>
      </w:r>
      <w:r>
        <w:rPr>
          <w:rFonts w:hint="eastAsia" w:ascii="仿宋" w:hAnsi="仿宋" w:eastAsia="仿宋" w:cs="仿宋"/>
          <w:bCs/>
          <w:color w:val="auto"/>
          <w:sz w:val="32"/>
          <w:szCs w:val="32"/>
          <w:lang w:eastAsia="zh-CN"/>
        </w:rPr>
        <w:t>）。年初预算为</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"年初预算2"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32809.9</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万元，支出决算为</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"教育支出（类）"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58637.7</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万元，完成年初预算的</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"完成年初预算的%1"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178.72</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w:t>
      </w:r>
    </w:p>
    <w:p>
      <w:pPr>
        <w:numPr>
          <w:ilvl w:val="0"/>
          <w:numId w:val="0"/>
        </w:numPr>
        <w:ind w:firstLine="640" w:firstLineChars="200"/>
        <w:rPr>
          <w:rFonts w:hint="eastAsia" w:ascii="仿宋" w:hAnsi="仿宋" w:eastAsia="仿宋" w:cs="仿宋"/>
          <w:bCs/>
          <w:color w:val="auto"/>
          <w:sz w:val="32"/>
          <w:szCs w:val="32"/>
          <w:lang w:val="en-US" w:eastAsia="zh-CN"/>
        </w:rPr>
      </w:pPr>
      <w:r>
        <w:rPr>
          <w:rFonts w:hint="eastAsia" w:ascii="仿宋" w:hAnsi="仿宋" w:eastAsia="仿宋" w:cs="仿宋"/>
          <w:bCs/>
          <w:color w:val="auto"/>
          <w:sz w:val="32"/>
          <w:szCs w:val="32"/>
          <w:lang w:val="en-US" w:eastAsia="zh-CN"/>
        </w:rPr>
        <w:t>3、</w:t>
      </w:r>
      <w:r>
        <w:rPr>
          <w:rFonts w:hint="eastAsia" w:ascii="仿宋" w:hAnsi="仿宋" w:eastAsia="仿宋" w:cs="仿宋"/>
          <w:bCs/>
          <w:color w:val="auto"/>
          <w:sz w:val="32"/>
          <w:szCs w:val="32"/>
          <w:lang w:eastAsia="zh-CN"/>
        </w:rPr>
        <w:t>社会保障和就业支出（</w:t>
      </w:r>
      <w:r>
        <w:rPr>
          <w:rFonts w:hint="eastAsia" w:ascii="仿宋" w:hAnsi="仿宋" w:eastAsia="仿宋" w:cs="仿宋"/>
          <w:bCs/>
          <w:color w:val="auto"/>
          <w:sz w:val="32"/>
          <w:szCs w:val="32"/>
          <w:lang w:val="en-US" w:eastAsia="zh-CN"/>
        </w:rPr>
        <w:t>类</w:t>
      </w:r>
      <w:r>
        <w:rPr>
          <w:rFonts w:hint="eastAsia" w:ascii="仿宋" w:hAnsi="仿宋" w:eastAsia="仿宋" w:cs="仿宋"/>
          <w:bCs/>
          <w:color w:val="auto"/>
          <w:sz w:val="32"/>
          <w:szCs w:val="32"/>
          <w:lang w:eastAsia="zh-CN"/>
        </w:rPr>
        <w:t>）。年初预算为</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"年初预算3"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5302.9</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万元，支出决算为</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"社会保障和就业支出（类）"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5302.9</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val="en-US" w:eastAsia="zh-CN"/>
        </w:rPr>
        <w:t>万元，</w:t>
      </w:r>
      <w:r>
        <w:rPr>
          <w:rFonts w:hint="eastAsia" w:ascii="仿宋" w:hAnsi="仿宋" w:eastAsia="仿宋" w:cs="仿宋"/>
          <w:bCs/>
          <w:color w:val="auto"/>
          <w:sz w:val="32"/>
          <w:szCs w:val="32"/>
          <w:lang w:eastAsia="zh-CN"/>
        </w:rPr>
        <w:t>完成年初预算的</w:t>
      </w:r>
      <w:r>
        <w:rPr>
          <w:rFonts w:hint="eastAsia" w:ascii="仿宋" w:hAnsi="仿宋" w:eastAsia="仿宋" w:cs="仿宋"/>
          <w:bCs/>
          <w:color w:val="auto"/>
          <w:sz w:val="32"/>
          <w:szCs w:val="32"/>
          <w:lang w:val="en-US" w:eastAsia="zh-CN"/>
        </w:rPr>
        <w:t>100</w:t>
      </w:r>
      <w:r>
        <w:rPr>
          <w:rFonts w:hint="eastAsia" w:ascii="仿宋" w:hAnsi="仿宋" w:eastAsia="仿宋" w:cs="仿宋"/>
          <w:bCs/>
          <w:color w:val="auto"/>
          <w:sz w:val="32"/>
          <w:szCs w:val="32"/>
          <w:lang w:eastAsia="zh-CN"/>
        </w:rPr>
        <w:t>%。</w:t>
      </w:r>
    </w:p>
    <w:p>
      <w:pPr>
        <w:numPr>
          <w:ilvl w:val="0"/>
          <w:numId w:val="0"/>
        </w:numPr>
        <w:ind w:firstLine="640" w:firstLineChars="200"/>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val="en-US" w:eastAsia="zh-CN"/>
        </w:rPr>
        <w:t>4、卫生健康支出</w:t>
      </w: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类</w:t>
      </w:r>
      <w:r>
        <w:rPr>
          <w:rFonts w:hint="eastAsia" w:ascii="仿宋" w:hAnsi="仿宋" w:eastAsia="仿宋" w:cs="仿宋"/>
          <w:bCs/>
          <w:color w:val="auto"/>
          <w:sz w:val="32"/>
          <w:szCs w:val="32"/>
          <w:lang w:eastAsia="zh-CN"/>
        </w:rPr>
        <w:t>）。年初预算为</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"年初预算4"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1778.29</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万元，支出决算为</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"卫生健康支出（类）"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1778.29</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val="en-US" w:eastAsia="zh-CN"/>
        </w:rPr>
        <w:t>万元，</w:t>
      </w:r>
      <w:r>
        <w:rPr>
          <w:rFonts w:hint="eastAsia" w:ascii="仿宋" w:hAnsi="仿宋" w:eastAsia="仿宋" w:cs="仿宋"/>
          <w:bCs/>
          <w:color w:val="auto"/>
          <w:sz w:val="32"/>
          <w:szCs w:val="32"/>
          <w:lang w:eastAsia="zh-CN"/>
        </w:rPr>
        <w:t>完成年初预算的</w:t>
      </w:r>
      <w:r>
        <w:rPr>
          <w:rFonts w:hint="eastAsia" w:ascii="仿宋" w:hAnsi="仿宋" w:eastAsia="仿宋" w:cs="仿宋"/>
          <w:bCs/>
          <w:color w:val="auto"/>
          <w:sz w:val="32"/>
          <w:szCs w:val="32"/>
          <w:lang w:val="en-US" w:eastAsia="zh-CN"/>
        </w:rPr>
        <w:t>100</w:t>
      </w:r>
      <w:r>
        <w:rPr>
          <w:rFonts w:hint="eastAsia" w:ascii="仿宋" w:hAnsi="仿宋" w:eastAsia="仿宋" w:cs="仿宋"/>
          <w:bCs/>
          <w:color w:val="auto"/>
          <w:sz w:val="32"/>
          <w:szCs w:val="32"/>
          <w:lang w:eastAsia="zh-CN"/>
        </w:rPr>
        <w:t>%。</w:t>
      </w:r>
    </w:p>
    <w:p>
      <w:pPr>
        <w:numPr>
          <w:ilvl w:val="0"/>
          <w:numId w:val="0"/>
        </w:numPr>
        <w:ind w:firstLine="640" w:firstLineChars="200"/>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val="en-US" w:eastAsia="zh-CN"/>
        </w:rPr>
        <w:t>5、住房保障支出</w:t>
      </w: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类</w:t>
      </w:r>
      <w:r>
        <w:rPr>
          <w:rFonts w:hint="eastAsia" w:ascii="仿宋" w:hAnsi="仿宋" w:eastAsia="仿宋" w:cs="仿宋"/>
          <w:bCs/>
          <w:color w:val="auto"/>
          <w:sz w:val="32"/>
          <w:szCs w:val="32"/>
          <w:lang w:eastAsia="zh-CN"/>
        </w:rPr>
        <w:t>）。年初预算为</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"年初预算5"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3594.85</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万元，支出决算为</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"住房保障支出（类）"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3594.85</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val="en-US" w:eastAsia="zh-CN"/>
        </w:rPr>
        <w:t>万元，</w:t>
      </w:r>
      <w:r>
        <w:rPr>
          <w:rFonts w:hint="eastAsia" w:ascii="仿宋" w:hAnsi="仿宋" w:eastAsia="仿宋" w:cs="仿宋"/>
          <w:bCs/>
          <w:color w:val="auto"/>
          <w:sz w:val="32"/>
          <w:szCs w:val="32"/>
          <w:lang w:eastAsia="zh-CN"/>
        </w:rPr>
        <w:t>完成年初预算的</w:t>
      </w:r>
      <w:r>
        <w:rPr>
          <w:rFonts w:hint="eastAsia" w:ascii="仿宋" w:hAnsi="仿宋" w:eastAsia="仿宋" w:cs="仿宋"/>
          <w:bCs/>
          <w:color w:val="auto"/>
          <w:sz w:val="32"/>
          <w:szCs w:val="32"/>
          <w:lang w:val="en-US" w:eastAsia="zh-CN"/>
        </w:rPr>
        <w:t>100</w:t>
      </w:r>
      <w:r>
        <w:rPr>
          <w:rFonts w:hint="eastAsia" w:ascii="仿宋" w:hAnsi="仿宋" w:eastAsia="仿宋" w:cs="仿宋"/>
          <w:bCs/>
          <w:color w:val="auto"/>
          <w:sz w:val="32"/>
          <w:szCs w:val="32"/>
          <w:lang w:eastAsia="zh-CN"/>
        </w:rPr>
        <w:t>%。</w:t>
      </w:r>
    </w:p>
    <w:p>
      <w:pPr>
        <w:numPr>
          <w:ilvl w:val="0"/>
          <w:numId w:val="0"/>
        </w:numPr>
        <w:ind w:leftChars="0"/>
        <w:rPr>
          <w:rFonts w:hint="eastAsia" w:ascii="仿宋" w:hAnsi="仿宋" w:eastAsia="仿宋" w:cs="仿宋"/>
          <w:b/>
          <w:bCs/>
          <w:color w:val="auto"/>
          <w:sz w:val="32"/>
          <w:szCs w:val="32"/>
        </w:rPr>
      </w:pPr>
      <w:bookmarkStart w:id="20" w:name="OLE_LINK28"/>
      <w:r>
        <w:rPr>
          <w:rFonts w:hint="eastAsia" w:ascii="仿宋" w:hAnsi="仿宋" w:eastAsia="仿宋" w:cs="仿宋"/>
          <w:b/>
          <w:bCs/>
          <w:color w:val="auto"/>
          <w:sz w:val="32"/>
          <w:szCs w:val="32"/>
          <w:lang w:val="en-US" w:eastAsia="zh-CN"/>
        </w:rPr>
        <w:t>六、</w:t>
      </w:r>
      <w:r>
        <w:rPr>
          <w:rFonts w:hint="eastAsia" w:ascii="仿宋" w:hAnsi="仿宋" w:eastAsia="仿宋" w:cs="仿宋"/>
          <w:b/>
          <w:bCs/>
          <w:color w:val="auto"/>
          <w:sz w:val="32"/>
          <w:szCs w:val="32"/>
        </w:rPr>
        <w:t>一般公共预算财政拨款基本支出决算情况说明</w:t>
      </w:r>
    </w:p>
    <w:bookmarkEnd w:id="20"/>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崇阳县教育局(汇总)</w:t>
      </w:r>
      <w:r>
        <w:rPr>
          <w:rFonts w:hint="default" w:ascii="仿宋" w:hAnsi="仿宋" w:eastAsia="仿宋" w:cs="仿宋"/>
          <w:color w:val="auto"/>
          <w:sz w:val="32"/>
          <w:szCs w:val="32"/>
          <w:lang w:val="en-US" w:eastAsia="zh-CN"/>
        </w:rPr>
        <w:t>2022</w:t>
      </w:r>
      <w:r>
        <w:rPr>
          <w:rFonts w:hint="eastAsia" w:ascii="仿宋" w:hAnsi="仿宋" w:eastAsia="仿宋" w:cs="仿宋"/>
          <w:color w:val="auto"/>
          <w:sz w:val="32"/>
          <w:szCs w:val="32"/>
        </w:rPr>
        <w:t>年度</w:t>
      </w:r>
      <w:bookmarkStart w:id="21" w:name="OLE_LINK26"/>
      <w:r>
        <w:rPr>
          <w:rFonts w:hint="eastAsia" w:ascii="仿宋" w:hAnsi="仿宋" w:eastAsia="仿宋" w:cs="仿宋"/>
          <w:color w:val="auto"/>
          <w:sz w:val="32"/>
          <w:szCs w:val="32"/>
        </w:rPr>
        <w:t>财政拨款基本支出</w:t>
      </w:r>
      <w:bookmarkEnd w:id="21"/>
      <w:r>
        <w:rPr>
          <w:rFonts w:hint="eastAsia" w:ascii="仿宋" w:hAnsi="仿宋" w:eastAsia="仿宋" w:cs="仿宋"/>
          <w:color w:val="auto"/>
          <w:sz w:val="32"/>
          <w:szCs w:val="32"/>
          <w:lang w:val="en-US" w:eastAsia="zh-CN"/>
        </w:rPr>
        <w:fldChar w:fldCharType="begin"/>
      </w:r>
      <w:r>
        <w:rPr>
          <w:rFonts w:hint="eastAsia" w:ascii="仿宋" w:hAnsi="仿宋" w:eastAsia="仿宋" w:cs="仿宋"/>
          <w:color w:val="auto"/>
          <w:sz w:val="32"/>
          <w:szCs w:val="32"/>
          <w:lang w:val="en-US" w:eastAsia="zh-CN"/>
        </w:rPr>
        <w:instrText xml:space="preserve"> MERGEFIELD "财政拨款基本支出" </w:instrText>
      </w:r>
      <w:r>
        <w:rPr>
          <w:rFonts w:hint="eastAsia" w:ascii="仿宋" w:hAnsi="仿宋" w:eastAsia="仿宋" w:cs="仿宋"/>
          <w:color w:val="auto"/>
          <w:sz w:val="32"/>
          <w:szCs w:val="32"/>
          <w:lang w:val="en-US" w:eastAsia="zh-CN"/>
        </w:rPr>
        <w:fldChar w:fldCharType="separate"/>
      </w:r>
      <w:r>
        <w:rPr>
          <w:rFonts w:hint="eastAsia" w:ascii="仿宋" w:hAnsi="仿宋" w:eastAsia="仿宋" w:cs="仿宋"/>
          <w:color w:val="auto"/>
          <w:sz w:val="32"/>
          <w:szCs w:val="32"/>
          <w:lang w:val="en-US" w:eastAsia="zh-CN"/>
        </w:rPr>
        <w:t>61648.53</w:t>
      </w:r>
      <w:r>
        <w:rPr>
          <w:rFonts w:hint="eastAsia" w:ascii="仿宋" w:hAnsi="仿宋" w:eastAsia="仿宋" w:cs="仿宋"/>
          <w:color w:val="auto"/>
          <w:sz w:val="32"/>
          <w:szCs w:val="32"/>
          <w:lang w:val="en-US" w:eastAsia="zh-CN"/>
        </w:rPr>
        <w:fldChar w:fldCharType="end"/>
      </w:r>
      <w:r>
        <w:rPr>
          <w:rFonts w:hint="eastAsia" w:ascii="仿宋" w:hAnsi="仿宋" w:eastAsia="仿宋" w:cs="仿宋"/>
          <w:color w:val="auto"/>
          <w:sz w:val="32"/>
          <w:szCs w:val="32"/>
        </w:rPr>
        <w:t>万元，其中：</w:t>
      </w:r>
      <w:bookmarkStart w:id="22" w:name="OLE_LINK27"/>
      <w:r>
        <w:rPr>
          <w:rFonts w:hint="eastAsia" w:ascii="仿宋" w:hAnsi="仿宋" w:eastAsia="仿宋" w:cs="仿宋"/>
          <w:color w:val="auto"/>
          <w:sz w:val="32"/>
          <w:szCs w:val="32"/>
        </w:rPr>
        <w:t>人员经费</w:t>
      </w:r>
      <w:bookmarkEnd w:id="22"/>
      <w:r>
        <w:rPr>
          <w:rFonts w:hint="eastAsia" w:ascii="仿宋" w:hAnsi="仿宋" w:eastAsia="仿宋" w:cs="仿宋"/>
          <w:color w:val="auto"/>
          <w:sz w:val="32"/>
          <w:szCs w:val="32"/>
          <w:lang w:val="en-US" w:eastAsia="zh-CN"/>
        </w:rPr>
        <w:fldChar w:fldCharType="begin"/>
      </w:r>
      <w:r>
        <w:rPr>
          <w:rFonts w:hint="eastAsia" w:ascii="仿宋" w:hAnsi="仿宋" w:eastAsia="仿宋" w:cs="仿宋"/>
          <w:color w:val="auto"/>
          <w:sz w:val="32"/>
          <w:szCs w:val="32"/>
          <w:lang w:val="en-US" w:eastAsia="zh-CN"/>
        </w:rPr>
        <w:instrText xml:space="preserve"> MERGEFIELD "人员经费" </w:instrText>
      </w:r>
      <w:r>
        <w:rPr>
          <w:rFonts w:hint="eastAsia" w:ascii="仿宋" w:hAnsi="仿宋" w:eastAsia="仿宋" w:cs="仿宋"/>
          <w:color w:val="auto"/>
          <w:sz w:val="32"/>
          <w:szCs w:val="32"/>
          <w:lang w:val="en-US" w:eastAsia="zh-CN"/>
        </w:rPr>
        <w:fldChar w:fldCharType="separate"/>
      </w:r>
      <w:r>
        <w:rPr>
          <w:rFonts w:hint="eastAsia" w:ascii="仿宋" w:hAnsi="仿宋" w:eastAsia="仿宋" w:cs="仿宋"/>
          <w:color w:val="auto"/>
          <w:sz w:val="32"/>
          <w:szCs w:val="32"/>
          <w:lang w:val="en-US" w:eastAsia="zh-CN"/>
        </w:rPr>
        <w:t>54051.03</w:t>
      </w:r>
      <w:r>
        <w:rPr>
          <w:rFonts w:hint="eastAsia" w:ascii="仿宋" w:hAnsi="仿宋" w:eastAsia="仿宋" w:cs="仿宋"/>
          <w:color w:val="auto"/>
          <w:sz w:val="32"/>
          <w:szCs w:val="32"/>
          <w:lang w:val="en-US" w:eastAsia="zh-CN"/>
        </w:rPr>
        <w:fldChar w:fldCharType="end"/>
      </w:r>
      <w:r>
        <w:rPr>
          <w:rFonts w:hint="eastAsia" w:ascii="仿宋" w:hAnsi="仿宋" w:eastAsia="仿宋" w:cs="仿宋"/>
          <w:color w:val="auto"/>
          <w:sz w:val="32"/>
          <w:szCs w:val="32"/>
        </w:rPr>
        <w:t>万元，主要包括：基本工资、津贴补贴、奖金、伙食补助费、绩效工资、机关事业单位基本养老保险缴费、其他社会保障缴费、住房公积金、医疗费、其他工资福利支出、离休费、退休费、抚恤金、生活补助、医疗费补助、奖励金、其他对个人和家庭的补助支出；日常</w:t>
      </w:r>
      <w:bookmarkStart w:id="23" w:name="OLE_LINK29"/>
      <w:r>
        <w:rPr>
          <w:rFonts w:hint="eastAsia" w:ascii="仿宋" w:hAnsi="仿宋" w:eastAsia="仿宋" w:cs="仿宋"/>
          <w:color w:val="auto"/>
          <w:sz w:val="32"/>
          <w:szCs w:val="32"/>
        </w:rPr>
        <w:t>公用经费</w:t>
      </w:r>
      <w:bookmarkEnd w:id="23"/>
      <w:r>
        <w:rPr>
          <w:rFonts w:hint="eastAsia" w:ascii="仿宋" w:hAnsi="仿宋" w:eastAsia="仿宋" w:cs="仿宋"/>
          <w:color w:val="auto"/>
          <w:sz w:val="32"/>
          <w:szCs w:val="32"/>
          <w:lang w:val="en-US" w:eastAsia="zh-CN"/>
        </w:rPr>
        <w:fldChar w:fldCharType="begin"/>
      </w:r>
      <w:r>
        <w:rPr>
          <w:rFonts w:hint="eastAsia" w:ascii="仿宋" w:hAnsi="仿宋" w:eastAsia="仿宋" w:cs="仿宋"/>
          <w:color w:val="auto"/>
          <w:sz w:val="32"/>
          <w:szCs w:val="32"/>
          <w:lang w:val="en-US" w:eastAsia="zh-CN"/>
        </w:rPr>
        <w:instrText xml:space="preserve"> MERGEFIELD "公用经费" </w:instrText>
      </w:r>
      <w:r>
        <w:rPr>
          <w:rFonts w:hint="eastAsia" w:ascii="仿宋" w:hAnsi="仿宋" w:eastAsia="仿宋" w:cs="仿宋"/>
          <w:color w:val="auto"/>
          <w:sz w:val="32"/>
          <w:szCs w:val="32"/>
          <w:lang w:val="en-US" w:eastAsia="zh-CN"/>
        </w:rPr>
        <w:fldChar w:fldCharType="separate"/>
      </w:r>
      <w:r>
        <w:rPr>
          <w:rFonts w:hint="eastAsia" w:ascii="仿宋" w:hAnsi="仿宋" w:eastAsia="仿宋" w:cs="仿宋"/>
          <w:color w:val="auto"/>
          <w:sz w:val="32"/>
          <w:szCs w:val="32"/>
          <w:lang w:val="en-US" w:eastAsia="zh-CN"/>
        </w:rPr>
        <w:t>7597.5</w:t>
      </w:r>
      <w:r>
        <w:rPr>
          <w:rFonts w:hint="eastAsia" w:ascii="仿宋" w:hAnsi="仿宋" w:eastAsia="仿宋" w:cs="仿宋"/>
          <w:color w:val="auto"/>
          <w:sz w:val="32"/>
          <w:szCs w:val="32"/>
          <w:lang w:val="en-US" w:eastAsia="zh-CN"/>
        </w:rPr>
        <w:fldChar w:fldCharType="end"/>
      </w:r>
      <w:r>
        <w:rPr>
          <w:rFonts w:hint="eastAsia" w:ascii="仿宋" w:hAnsi="仿宋" w:eastAsia="仿宋" w:cs="仿宋"/>
          <w:color w:val="auto"/>
          <w:sz w:val="32"/>
          <w:szCs w:val="32"/>
        </w:rPr>
        <w:t>万元，主要包括：办公费、印刷费、咨询费、手续费、水费、电费、邮电费、取暖费、物业管理费、差旅费、维修（护）费、租赁费、会议费、培训费、公务接待费、劳务费、委托业务费、工会经费、福利费、公务用车运行维护费、其他交通费用、税金及附加费用、其他商品和服务支出、办公设备购置、信息网络及软件购置更新、其他资本性支出。</w:t>
      </w:r>
    </w:p>
    <w:p>
      <w:pPr>
        <w:pageBreakBefore w:val="0"/>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b/>
          <w:bCs/>
          <w:color w:val="auto"/>
          <w:sz w:val="32"/>
          <w:szCs w:val="32"/>
        </w:rPr>
      </w:pPr>
      <w:r>
        <w:rPr>
          <w:rFonts w:hint="eastAsia" w:ascii="仿宋" w:hAnsi="仿宋" w:eastAsia="仿宋" w:cs="仿宋"/>
          <w:b/>
          <w:bCs/>
          <w:color w:val="auto"/>
          <w:sz w:val="32"/>
          <w:szCs w:val="32"/>
          <w:lang w:val="en-US" w:eastAsia="zh-CN"/>
        </w:rPr>
        <w:t>七</w:t>
      </w:r>
      <w:r>
        <w:rPr>
          <w:rFonts w:hint="eastAsia" w:ascii="仿宋" w:hAnsi="仿宋" w:eastAsia="仿宋" w:cs="仿宋"/>
          <w:b/>
          <w:bCs/>
          <w:color w:val="auto"/>
          <w:sz w:val="32"/>
          <w:szCs w:val="32"/>
          <w:lang w:eastAsia="zh-CN"/>
        </w:rPr>
        <w:t>、</w:t>
      </w:r>
      <w:r>
        <w:rPr>
          <w:rFonts w:hint="eastAsia" w:ascii="仿宋" w:hAnsi="仿宋" w:eastAsia="仿宋" w:cs="仿宋"/>
          <w:b/>
          <w:bCs/>
          <w:color w:val="auto"/>
          <w:sz w:val="32"/>
          <w:szCs w:val="32"/>
        </w:rPr>
        <w:t>政府性基金预算收入支出决算情况说明</w:t>
      </w:r>
    </w:p>
    <w:p>
      <w:pPr>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崇阳县教育局(汇总)</w:t>
      </w:r>
      <w:r>
        <w:rPr>
          <w:rFonts w:hint="default" w:ascii="仿宋" w:hAnsi="仿宋" w:eastAsia="仿宋" w:cs="仿宋"/>
          <w:color w:val="auto"/>
          <w:sz w:val="32"/>
          <w:szCs w:val="32"/>
          <w:lang w:val="en-US" w:eastAsia="zh-CN"/>
        </w:rPr>
        <w:t>2022</w:t>
      </w:r>
      <w:r>
        <w:rPr>
          <w:rFonts w:hint="eastAsia" w:ascii="仿宋" w:hAnsi="仿宋" w:eastAsia="仿宋" w:cs="仿宋"/>
          <w:color w:val="auto"/>
          <w:sz w:val="32"/>
          <w:szCs w:val="32"/>
        </w:rPr>
        <w:t>年度</w:t>
      </w:r>
      <w:r>
        <w:rPr>
          <w:rFonts w:hint="eastAsia" w:ascii="仿宋" w:hAnsi="仿宋" w:eastAsia="仿宋" w:cs="仿宋"/>
          <w:color w:val="auto"/>
          <w:sz w:val="32"/>
          <w:szCs w:val="32"/>
          <w:lang w:eastAsia="zh-CN"/>
        </w:rPr>
        <w:t>无</w:t>
      </w:r>
      <w:r>
        <w:rPr>
          <w:rFonts w:hint="eastAsia" w:ascii="仿宋" w:hAnsi="仿宋" w:eastAsia="仿宋" w:cs="仿宋"/>
          <w:color w:val="auto"/>
          <w:sz w:val="32"/>
          <w:szCs w:val="32"/>
        </w:rPr>
        <w:t>政府性基金预算财政拨款。</w:t>
      </w:r>
    </w:p>
    <w:p>
      <w:pPr>
        <w:pageBreakBefore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lang w:val="en-US" w:eastAsia="zh-CN"/>
        </w:rPr>
        <w:t>八、</w:t>
      </w:r>
      <w:r>
        <w:rPr>
          <w:rFonts w:hint="eastAsia" w:ascii="仿宋" w:hAnsi="仿宋" w:eastAsia="仿宋" w:cs="仿宋"/>
          <w:b/>
          <w:bCs/>
          <w:color w:val="auto"/>
          <w:sz w:val="32"/>
          <w:szCs w:val="32"/>
          <w:lang w:eastAsia="zh-CN"/>
        </w:rPr>
        <w:t>国有资本经营预算财政拨款支出情况说明</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lang w:eastAsia="zh-CN"/>
        </w:rPr>
        <w:t>崇阳县教育局(汇总)</w:t>
      </w:r>
      <w:r>
        <w:rPr>
          <w:rFonts w:hint="default" w:ascii="仿宋" w:hAnsi="仿宋" w:eastAsia="仿宋" w:cs="仿宋"/>
          <w:b w:val="0"/>
          <w:bCs w:val="0"/>
          <w:color w:val="auto"/>
          <w:sz w:val="32"/>
          <w:szCs w:val="32"/>
          <w:lang w:val="en-US" w:eastAsia="zh-CN"/>
        </w:rPr>
        <w:t>2022</w:t>
      </w:r>
      <w:r>
        <w:rPr>
          <w:rFonts w:hint="eastAsia" w:ascii="仿宋" w:hAnsi="仿宋" w:eastAsia="仿宋" w:cs="仿宋"/>
          <w:b w:val="0"/>
          <w:bCs w:val="0"/>
          <w:color w:val="auto"/>
          <w:sz w:val="32"/>
          <w:szCs w:val="32"/>
        </w:rPr>
        <w:t>年度无</w:t>
      </w:r>
      <w:r>
        <w:rPr>
          <w:rFonts w:hint="eastAsia" w:ascii="仿宋" w:hAnsi="仿宋" w:eastAsia="仿宋" w:cs="仿宋"/>
          <w:b w:val="0"/>
          <w:bCs w:val="0"/>
          <w:color w:val="auto"/>
          <w:sz w:val="32"/>
          <w:szCs w:val="32"/>
          <w:lang w:eastAsia="zh-CN"/>
        </w:rPr>
        <w:t>国有资本经营预算</w:t>
      </w:r>
      <w:r>
        <w:rPr>
          <w:rFonts w:hint="eastAsia" w:ascii="仿宋" w:hAnsi="仿宋" w:eastAsia="仿宋" w:cs="仿宋"/>
          <w:b w:val="0"/>
          <w:bCs w:val="0"/>
          <w:color w:val="auto"/>
          <w:sz w:val="32"/>
          <w:szCs w:val="32"/>
        </w:rPr>
        <w:t>预算安排和支出。</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rPr>
        <w:t>财政拨款“三公”经费支出决算</w:t>
      </w:r>
      <w:r>
        <w:rPr>
          <w:rFonts w:hint="eastAsia" w:ascii="仿宋" w:hAnsi="仿宋" w:eastAsia="仿宋" w:cs="仿宋"/>
          <w:b/>
          <w:bCs/>
          <w:color w:val="auto"/>
          <w:sz w:val="32"/>
          <w:szCs w:val="32"/>
          <w:lang w:val="en-US" w:eastAsia="zh-CN"/>
        </w:rPr>
        <w:t>情况说明</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65" w:beforeAutospacing="0" w:after="75" w:afterAutospacing="0" w:line="525" w:lineRule="atLeast"/>
        <w:ind w:left="0" w:right="0" w:firstLine="420"/>
        <w:jc w:val="both"/>
        <w:rPr>
          <w:rFonts w:hint="eastAsia" w:ascii="仿宋" w:hAnsi="仿宋" w:eastAsia="仿宋" w:cs="仿宋"/>
          <w:i w:val="0"/>
          <w:iCs w:val="0"/>
          <w:caps w:val="0"/>
          <w:color w:val="auto"/>
          <w:spacing w:val="0"/>
          <w:sz w:val="31"/>
          <w:szCs w:val="31"/>
        </w:rPr>
      </w:pPr>
      <w:r>
        <w:rPr>
          <w:rFonts w:hint="eastAsia" w:ascii="仿宋" w:hAnsi="仿宋" w:eastAsia="仿宋" w:cs="仿宋"/>
          <w:i w:val="0"/>
          <w:iCs w:val="0"/>
          <w:caps w:val="0"/>
          <w:color w:val="auto"/>
          <w:spacing w:val="0"/>
          <w:sz w:val="31"/>
          <w:szCs w:val="31"/>
          <w:shd w:val="clear" w:fill="FFFFFF"/>
        </w:rPr>
        <w:t>（一）“三公”经费财政拨款支出决算总体情况说明。</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65" w:beforeAutospacing="0" w:after="75" w:afterAutospacing="0" w:line="525" w:lineRule="atLeast"/>
        <w:ind w:left="0" w:right="0" w:firstLine="420"/>
        <w:jc w:val="both"/>
        <w:rPr>
          <w:rFonts w:hint="eastAsia" w:ascii="仿宋" w:hAnsi="仿宋" w:eastAsia="仿宋" w:cs="仿宋"/>
          <w:i w:val="0"/>
          <w:iCs w:val="0"/>
          <w:caps w:val="0"/>
          <w:color w:val="auto"/>
          <w:spacing w:val="0"/>
          <w:sz w:val="31"/>
          <w:szCs w:val="31"/>
        </w:rPr>
      </w:pPr>
      <w:r>
        <w:rPr>
          <w:rFonts w:hint="eastAsia" w:ascii="仿宋" w:hAnsi="仿宋" w:eastAsia="仿宋" w:cs="仿宋"/>
          <w:i w:val="0"/>
          <w:iCs w:val="0"/>
          <w:caps w:val="0"/>
          <w:color w:val="auto"/>
          <w:spacing w:val="0"/>
          <w:sz w:val="31"/>
          <w:szCs w:val="31"/>
          <w:shd w:val="clear" w:fill="FFFFFF"/>
        </w:rPr>
        <w:t>2022年度“三公”经费财政拨款支出预算为</w:t>
      </w:r>
      <w:r>
        <w:rPr>
          <w:rFonts w:hint="eastAsia" w:ascii="仿宋" w:hAnsi="仿宋" w:eastAsia="仿宋" w:cs="仿宋"/>
          <w:i w:val="0"/>
          <w:iCs w:val="0"/>
          <w:caps w:val="0"/>
          <w:color w:val="auto"/>
          <w:spacing w:val="0"/>
          <w:sz w:val="31"/>
          <w:szCs w:val="31"/>
          <w:shd w:val="clear" w:fill="FFFFFF"/>
          <w:lang w:val="en-US" w:eastAsia="zh-CN"/>
        </w:rPr>
        <w:t>21.4</w:t>
      </w:r>
      <w:r>
        <w:rPr>
          <w:rFonts w:hint="eastAsia" w:ascii="仿宋" w:hAnsi="仿宋" w:eastAsia="仿宋" w:cs="仿宋"/>
          <w:i w:val="0"/>
          <w:iCs w:val="0"/>
          <w:caps w:val="0"/>
          <w:color w:val="auto"/>
          <w:spacing w:val="0"/>
          <w:sz w:val="31"/>
          <w:szCs w:val="31"/>
          <w:shd w:val="clear" w:fill="FFFFFF"/>
        </w:rPr>
        <w:t>万元，支出决算为</w:t>
      </w:r>
      <w:r>
        <w:rPr>
          <w:rFonts w:hint="eastAsia" w:ascii="仿宋" w:hAnsi="仿宋" w:eastAsia="仿宋" w:cs="仿宋"/>
          <w:i w:val="0"/>
          <w:iCs w:val="0"/>
          <w:caps w:val="0"/>
          <w:color w:val="auto"/>
          <w:spacing w:val="0"/>
          <w:sz w:val="31"/>
          <w:szCs w:val="31"/>
          <w:shd w:val="clear" w:fill="FFFFFF"/>
          <w:lang w:val="en-US" w:eastAsia="zh-CN"/>
        </w:rPr>
        <w:t>4.49</w:t>
      </w:r>
      <w:r>
        <w:rPr>
          <w:rFonts w:hint="eastAsia" w:ascii="仿宋" w:hAnsi="仿宋" w:eastAsia="仿宋" w:cs="仿宋"/>
          <w:i w:val="0"/>
          <w:iCs w:val="0"/>
          <w:caps w:val="0"/>
          <w:color w:val="auto"/>
          <w:spacing w:val="0"/>
          <w:sz w:val="31"/>
          <w:szCs w:val="31"/>
          <w:shd w:val="clear" w:fill="FFFFFF"/>
        </w:rPr>
        <w:t>万元，完成预算的</w:t>
      </w:r>
      <w:r>
        <w:rPr>
          <w:rFonts w:hint="eastAsia" w:ascii="仿宋" w:hAnsi="仿宋" w:eastAsia="仿宋" w:cs="仿宋"/>
          <w:i w:val="0"/>
          <w:iCs w:val="0"/>
          <w:caps w:val="0"/>
          <w:color w:val="auto"/>
          <w:spacing w:val="0"/>
          <w:sz w:val="31"/>
          <w:szCs w:val="31"/>
          <w:shd w:val="clear" w:fill="FFFFFF"/>
          <w:lang w:val="en-US" w:eastAsia="zh-CN"/>
        </w:rPr>
        <w:t>20.98</w:t>
      </w:r>
      <w:r>
        <w:rPr>
          <w:rFonts w:hint="eastAsia" w:ascii="仿宋" w:hAnsi="仿宋" w:eastAsia="仿宋" w:cs="仿宋"/>
          <w:i w:val="0"/>
          <w:iCs w:val="0"/>
          <w:caps w:val="0"/>
          <w:color w:val="auto"/>
          <w:spacing w:val="0"/>
          <w:sz w:val="31"/>
          <w:szCs w:val="31"/>
          <w:shd w:val="clear" w:fill="FFFFFF"/>
        </w:rPr>
        <w:t>％，比预算减少</w:t>
      </w:r>
      <w:r>
        <w:rPr>
          <w:rFonts w:hint="eastAsia" w:ascii="仿宋" w:hAnsi="仿宋" w:eastAsia="仿宋" w:cs="仿宋"/>
          <w:i w:val="0"/>
          <w:iCs w:val="0"/>
          <w:caps w:val="0"/>
          <w:color w:val="auto"/>
          <w:spacing w:val="0"/>
          <w:sz w:val="31"/>
          <w:szCs w:val="31"/>
          <w:shd w:val="clear" w:fill="FFFFFF"/>
          <w:lang w:val="en-US" w:eastAsia="zh-CN"/>
        </w:rPr>
        <w:t>16.91</w:t>
      </w:r>
      <w:r>
        <w:rPr>
          <w:rFonts w:hint="eastAsia" w:ascii="仿宋" w:hAnsi="仿宋" w:eastAsia="仿宋" w:cs="仿宋"/>
          <w:i w:val="0"/>
          <w:iCs w:val="0"/>
          <w:caps w:val="0"/>
          <w:color w:val="auto"/>
          <w:spacing w:val="0"/>
          <w:sz w:val="31"/>
          <w:szCs w:val="31"/>
          <w:shd w:val="clear" w:fill="FFFFFF"/>
        </w:rPr>
        <w:t>万元，决算数小于预算数的主要原因是认真贯彻落实“党政机关要坚持过紧日子”的要求，厉行节约，从严控制“三公”经费开支。较上年减少</w:t>
      </w:r>
      <w:r>
        <w:rPr>
          <w:rFonts w:hint="eastAsia" w:ascii="仿宋" w:hAnsi="仿宋" w:eastAsia="仿宋" w:cs="仿宋"/>
          <w:i w:val="0"/>
          <w:iCs w:val="0"/>
          <w:caps w:val="0"/>
          <w:color w:val="auto"/>
          <w:spacing w:val="0"/>
          <w:sz w:val="31"/>
          <w:szCs w:val="31"/>
          <w:shd w:val="clear" w:fill="FFFFFF"/>
          <w:lang w:val="en-US" w:eastAsia="zh-CN"/>
        </w:rPr>
        <w:t>1.61</w:t>
      </w:r>
      <w:r>
        <w:rPr>
          <w:rFonts w:hint="eastAsia" w:ascii="仿宋" w:hAnsi="仿宋" w:eastAsia="仿宋" w:cs="仿宋"/>
          <w:i w:val="0"/>
          <w:iCs w:val="0"/>
          <w:caps w:val="0"/>
          <w:color w:val="auto"/>
          <w:spacing w:val="0"/>
          <w:sz w:val="31"/>
          <w:szCs w:val="31"/>
          <w:shd w:val="clear" w:fill="FFFFFF"/>
        </w:rPr>
        <w:t>万元，下降</w:t>
      </w:r>
      <w:r>
        <w:rPr>
          <w:rFonts w:hint="eastAsia" w:ascii="仿宋" w:hAnsi="仿宋" w:eastAsia="仿宋" w:cs="仿宋"/>
          <w:i w:val="0"/>
          <w:iCs w:val="0"/>
          <w:caps w:val="0"/>
          <w:color w:val="auto"/>
          <w:spacing w:val="0"/>
          <w:sz w:val="31"/>
          <w:szCs w:val="31"/>
          <w:shd w:val="clear" w:fill="FFFFFF"/>
          <w:lang w:val="en-US" w:eastAsia="zh-CN"/>
        </w:rPr>
        <w:t>26.3</w:t>
      </w:r>
      <w:r>
        <w:rPr>
          <w:rFonts w:hint="eastAsia" w:ascii="仿宋" w:hAnsi="仿宋" w:eastAsia="仿宋" w:cs="仿宋"/>
          <w:i w:val="0"/>
          <w:iCs w:val="0"/>
          <w:caps w:val="0"/>
          <w:color w:val="auto"/>
          <w:spacing w:val="0"/>
          <w:sz w:val="31"/>
          <w:szCs w:val="31"/>
          <w:shd w:val="clear" w:fill="FFFFFF"/>
        </w:rPr>
        <w:t>％，决算数较上年减少的主要原因：受疫情影响，为避免人群聚集，从严控制公务接待人员。</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65" w:beforeAutospacing="0" w:after="75" w:afterAutospacing="0" w:line="525" w:lineRule="atLeast"/>
        <w:ind w:left="0" w:right="0" w:firstLine="420"/>
        <w:jc w:val="both"/>
        <w:rPr>
          <w:rFonts w:hint="eastAsia" w:ascii="仿宋" w:hAnsi="仿宋" w:eastAsia="仿宋" w:cs="仿宋"/>
          <w:i w:val="0"/>
          <w:iCs w:val="0"/>
          <w:caps w:val="0"/>
          <w:color w:val="auto"/>
          <w:spacing w:val="0"/>
          <w:sz w:val="31"/>
          <w:szCs w:val="31"/>
        </w:rPr>
      </w:pPr>
      <w:r>
        <w:rPr>
          <w:rFonts w:hint="eastAsia" w:ascii="仿宋" w:hAnsi="仿宋" w:eastAsia="仿宋" w:cs="仿宋"/>
          <w:i w:val="0"/>
          <w:iCs w:val="0"/>
          <w:caps w:val="0"/>
          <w:color w:val="auto"/>
          <w:spacing w:val="0"/>
          <w:sz w:val="31"/>
          <w:szCs w:val="31"/>
          <w:shd w:val="clear" w:fill="FFFFFF"/>
        </w:rPr>
        <w:t>（二）“三公”经费财政拨款支出决算具体情况说明。</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65" w:beforeAutospacing="0" w:after="75" w:afterAutospacing="0" w:line="525" w:lineRule="atLeast"/>
        <w:ind w:left="0" w:right="0" w:firstLine="420"/>
        <w:jc w:val="both"/>
        <w:rPr>
          <w:rFonts w:hint="eastAsia" w:ascii="仿宋" w:hAnsi="仿宋" w:eastAsia="仿宋" w:cs="仿宋"/>
          <w:i w:val="0"/>
          <w:iCs w:val="0"/>
          <w:caps w:val="0"/>
          <w:color w:val="auto"/>
          <w:spacing w:val="0"/>
          <w:sz w:val="31"/>
          <w:szCs w:val="31"/>
        </w:rPr>
      </w:pPr>
      <w:r>
        <w:rPr>
          <w:rFonts w:hint="eastAsia" w:ascii="仿宋" w:hAnsi="仿宋" w:eastAsia="仿宋" w:cs="仿宋"/>
          <w:i w:val="0"/>
          <w:iCs w:val="0"/>
          <w:caps w:val="0"/>
          <w:color w:val="auto"/>
          <w:spacing w:val="0"/>
          <w:sz w:val="31"/>
          <w:szCs w:val="31"/>
          <w:shd w:val="clear" w:fill="FFFFFF"/>
        </w:rPr>
        <w:t>1．因公出国（境）费预算为0万元，支出决算为0万元，完成预算的0％，　较上年增加0万元，增长0％，决算数较预算数保持不变的主要原因是：受疫情影响，本年没有安排人员出国，决算数较上年数保持不变的主要原因：受疫情影响，本年和上年没有安排人员出国。</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65" w:beforeAutospacing="0" w:after="75" w:afterAutospacing="0" w:line="525" w:lineRule="atLeast"/>
        <w:ind w:left="0" w:right="0" w:firstLine="420"/>
        <w:jc w:val="both"/>
        <w:rPr>
          <w:rFonts w:hint="eastAsia" w:ascii="仿宋" w:hAnsi="仿宋" w:eastAsia="仿宋" w:cs="仿宋"/>
          <w:i w:val="0"/>
          <w:iCs w:val="0"/>
          <w:caps w:val="0"/>
          <w:color w:val="auto"/>
          <w:spacing w:val="0"/>
          <w:sz w:val="31"/>
          <w:szCs w:val="31"/>
        </w:rPr>
      </w:pPr>
      <w:r>
        <w:rPr>
          <w:rFonts w:hint="eastAsia" w:ascii="仿宋" w:hAnsi="仿宋" w:eastAsia="仿宋" w:cs="仿宋"/>
          <w:i w:val="0"/>
          <w:iCs w:val="0"/>
          <w:caps w:val="0"/>
          <w:color w:val="auto"/>
          <w:spacing w:val="0"/>
          <w:sz w:val="31"/>
          <w:szCs w:val="31"/>
          <w:shd w:val="clear" w:fill="FFFFFF"/>
        </w:rPr>
        <w:t>全年支出涉及出国（境）团组0个，累计0人次，主要是本年度未安排人员出国。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65" w:beforeAutospacing="0" w:after="75" w:afterAutospacing="0" w:line="525" w:lineRule="atLeast"/>
        <w:ind w:left="0" w:right="0" w:firstLine="420"/>
        <w:jc w:val="both"/>
        <w:rPr>
          <w:rFonts w:hint="eastAsia" w:ascii="仿宋" w:hAnsi="仿宋" w:eastAsia="仿宋" w:cs="仿宋"/>
          <w:i w:val="0"/>
          <w:iCs w:val="0"/>
          <w:caps w:val="0"/>
          <w:color w:val="auto"/>
          <w:spacing w:val="0"/>
          <w:sz w:val="31"/>
          <w:szCs w:val="31"/>
        </w:rPr>
      </w:pPr>
      <w:r>
        <w:rPr>
          <w:rFonts w:hint="eastAsia" w:ascii="仿宋" w:hAnsi="仿宋" w:eastAsia="仿宋" w:cs="仿宋"/>
          <w:i w:val="0"/>
          <w:iCs w:val="0"/>
          <w:caps w:val="0"/>
          <w:color w:val="auto"/>
          <w:spacing w:val="0"/>
          <w:sz w:val="31"/>
          <w:szCs w:val="31"/>
          <w:shd w:val="clear" w:fill="FFFFFF"/>
        </w:rPr>
        <w:t>2．公务用车购置及运行费支出决算为</w:t>
      </w:r>
      <w:r>
        <w:rPr>
          <w:rFonts w:hint="eastAsia" w:ascii="仿宋" w:hAnsi="仿宋" w:eastAsia="仿宋" w:cs="仿宋"/>
          <w:i w:val="0"/>
          <w:iCs w:val="0"/>
          <w:caps w:val="0"/>
          <w:color w:val="auto"/>
          <w:spacing w:val="0"/>
          <w:sz w:val="31"/>
          <w:szCs w:val="31"/>
          <w:shd w:val="clear" w:fill="FFFFFF"/>
          <w:lang w:val="en-US" w:eastAsia="zh-CN"/>
        </w:rPr>
        <w:t>0</w:t>
      </w:r>
      <w:r>
        <w:rPr>
          <w:rFonts w:hint="eastAsia" w:ascii="仿宋" w:hAnsi="仿宋" w:eastAsia="仿宋" w:cs="仿宋"/>
          <w:i w:val="0"/>
          <w:iCs w:val="0"/>
          <w:caps w:val="0"/>
          <w:color w:val="auto"/>
          <w:spacing w:val="0"/>
          <w:sz w:val="31"/>
          <w:szCs w:val="31"/>
          <w:shd w:val="clear" w:fill="FFFFFF"/>
        </w:rPr>
        <w:t>万元，完成年初预算的</w:t>
      </w:r>
      <w:r>
        <w:rPr>
          <w:rFonts w:hint="eastAsia" w:ascii="仿宋" w:hAnsi="仿宋" w:eastAsia="仿宋" w:cs="仿宋"/>
          <w:i w:val="0"/>
          <w:iCs w:val="0"/>
          <w:caps w:val="0"/>
          <w:color w:val="auto"/>
          <w:spacing w:val="0"/>
          <w:sz w:val="31"/>
          <w:szCs w:val="31"/>
          <w:shd w:val="clear" w:fill="FFFFFF"/>
          <w:lang w:val="en-US" w:eastAsia="zh-CN"/>
        </w:rPr>
        <w:t>100</w:t>
      </w:r>
      <w:r>
        <w:rPr>
          <w:rFonts w:hint="eastAsia" w:ascii="仿宋" w:hAnsi="仿宋" w:eastAsia="仿宋" w:cs="仿宋"/>
          <w:i w:val="0"/>
          <w:iCs w:val="0"/>
          <w:caps w:val="0"/>
          <w:color w:val="auto"/>
          <w:spacing w:val="0"/>
          <w:sz w:val="31"/>
          <w:szCs w:val="31"/>
          <w:shd w:val="clear" w:fill="FFFFFF"/>
        </w:rPr>
        <w:t>％，比预算减少了</w:t>
      </w:r>
      <w:r>
        <w:rPr>
          <w:rFonts w:hint="eastAsia" w:ascii="仿宋" w:hAnsi="仿宋" w:eastAsia="仿宋" w:cs="仿宋"/>
          <w:i w:val="0"/>
          <w:iCs w:val="0"/>
          <w:caps w:val="0"/>
          <w:color w:val="auto"/>
          <w:spacing w:val="0"/>
          <w:sz w:val="31"/>
          <w:szCs w:val="31"/>
          <w:shd w:val="clear" w:fill="FFFFFF"/>
          <w:lang w:val="en-US" w:eastAsia="zh-CN"/>
        </w:rPr>
        <w:t>0</w:t>
      </w:r>
      <w:r>
        <w:rPr>
          <w:rFonts w:hint="eastAsia" w:ascii="仿宋" w:hAnsi="仿宋" w:eastAsia="仿宋" w:cs="仿宋"/>
          <w:i w:val="0"/>
          <w:iCs w:val="0"/>
          <w:caps w:val="0"/>
          <w:color w:val="auto"/>
          <w:spacing w:val="0"/>
          <w:sz w:val="31"/>
          <w:szCs w:val="31"/>
          <w:shd w:val="clear" w:fill="FFFFFF"/>
        </w:rPr>
        <w:t>万元，下降了</w:t>
      </w:r>
      <w:r>
        <w:rPr>
          <w:rFonts w:hint="eastAsia" w:ascii="仿宋" w:hAnsi="仿宋" w:eastAsia="仿宋" w:cs="仿宋"/>
          <w:i w:val="0"/>
          <w:iCs w:val="0"/>
          <w:caps w:val="0"/>
          <w:color w:val="auto"/>
          <w:spacing w:val="0"/>
          <w:sz w:val="31"/>
          <w:szCs w:val="31"/>
          <w:shd w:val="clear" w:fill="FFFFFF"/>
          <w:lang w:val="en-US" w:eastAsia="zh-CN"/>
        </w:rPr>
        <w:t>0</w:t>
      </w:r>
      <w:r>
        <w:rPr>
          <w:rFonts w:hint="eastAsia" w:ascii="仿宋" w:hAnsi="仿宋" w:eastAsia="仿宋" w:cs="仿宋"/>
          <w:i w:val="0"/>
          <w:iCs w:val="0"/>
          <w:caps w:val="0"/>
          <w:color w:val="auto"/>
          <w:spacing w:val="0"/>
          <w:sz w:val="31"/>
          <w:szCs w:val="31"/>
          <w:shd w:val="clear" w:fill="FFFFFF"/>
        </w:rPr>
        <w:t>％，决算数小于预算数的主要原因是：认真贯彻落实中央八项规定精神和厉行节约要求，从严控制公车运维经费支出。决算数较上年减少</w:t>
      </w:r>
      <w:r>
        <w:rPr>
          <w:rFonts w:hint="eastAsia" w:ascii="仿宋" w:hAnsi="仿宋" w:eastAsia="仿宋" w:cs="仿宋"/>
          <w:i w:val="0"/>
          <w:iCs w:val="0"/>
          <w:caps w:val="0"/>
          <w:color w:val="auto"/>
          <w:spacing w:val="0"/>
          <w:sz w:val="31"/>
          <w:szCs w:val="31"/>
          <w:shd w:val="clear" w:fill="FFFFFF"/>
          <w:lang w:val="en-US" w:eastAsia="zh-CN"/>
        </w:rPr>
        <w:t>0</w:t>
      </w:r>
      <w:r>
        <w:rPr>
          <w:rFonts w:hint="eastAsia" w:ascii="仿宋" w:hAnsi="仿宋" w:eastAsia="仿宋" w:cs="仿宋"/>
          <w:i w:val="0"/>
          <w:iCs w:val="0"/>
          <w:caps w:val="0"/>
          <w:color w:val="auto"/>
          <w:spacing w:val="0"/>
          <w:sz w:val="31"/>
          <w:szCs w:val="31"/>
          <w:shd w:val="clear" w:fill="FFFFFF"/>
        </w:rPr>
        <w:t>万元，下降了</w:t>
      </w:r>
      <w:r>
        <w:rPr>
          <w:rFonts w:hint="eastAsia" w:ascii="仿宋" w:hAnsi="仿宋" w:eastAsia="仿宋" w:cs="仿宋"/>
          <w:i w:val="0"/>
          <w:iCs w:val="0"/>
          <w:caps w:val="0"/>
          <w:color w:val="auto"/>
          <w:spacing w:val="0"/>
          <w:sz w:val="31"/>
          <w:szCs w:val="31"/>
          <w:shd w:val="clear" w:fill="FFFFFF"/>
          <w:lang w:val="en-US" w:eastAsia="zh-CN"/>
        </w:rPr>
        <w:t>0</w:t>
      </w:r>
      <w:r>
        <w:rPr>
          <w:rFonts w:hint="eastAsia" w:ascii="仿宋" w:hAnsi="仿宋" w:eastAsia="仿宋" w:cs="仿宋"/>
          <w:i w:val="0"/>
          <w:iCs w:val="0"/>
          <w:caps w:val="0"/>
          <w:color w:val="auto"/>
          <w:spacing w:val="0"/>
          <w:sz w:val="31"/>
          <w:szCs w:val="31"/>
          <w:shd w:val="clear" w:fill="FFFFFF"/>
        </w:rPr>
        <w:t>％，决算数较上年数减少的原因是：受疫情影响，县内调研次数减少，路桥费及油费相应减少。</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65" w:beforeAutospacing="0" w:after="75" w:afterAutospacing="0" w:line="525" w:lineRule="atLeast"/>
        <w:ind w:left="0" w:right="0" w:firstLine="420"/>
        <w:jc w:val="both"/>
        <w:rPr>
          <w:rFonts w:hint="eastAsia" w:ascii="仿宋" w:hAnsi="仿宋" w:eastAsia="仿宋" w:cs="仿宋"/>
          <w:i w:val="0"/>
          <w:iCs w:val="0"/>
          <w:caps w:val="0"/>
          <w:color w:val="auto"/>
          <w:spacing w:val="0"/>
          <w:sz w:val="31"/>
          <w:szCs w:val="31"/>
        </w:rPr>
      </w:pPr>
      <w:r>
        <w:rPr>
          <w:rFonts w:hint="eastAsia" w:ascii="仿宋" w:hAnsi="仿宋" w:eastAsia="仿宋" w:cs="仿宋"/>
          <w:i w:val="0"/>
          <w:iCs w:val="0"/>
          <w:caps w:val="0"/>
          <w:color w:val="auto"/>
          <w:spacing w:val="0"/>
          <w:sz w:val="31"/>
          <w:szCs w:val="31"/>
          <w:shd w:val="clear" w:fill="FFFFFF"/>
        </w:rPr>
        <w:t>（1）公务用车购置费0万元，完成年初预算的0％，比年初预算增加0万元，主要原因是本年度没有公务用车；较上年增加0万元，增长0％，主要原因是上年度和本年度没有公务用车购置需求，本年度财政拨款购置（更新）公务用车0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65" w:beforeAutospacing="0" w:after="75" w:afterAutospacing="0" w:line="525" w:lineRule="atLeast"/>
        <w:ind w:left="0" w:right="0" w:firstLine="420"/>
        <w:jc w:val="both"/>
        <w:rPr>
          <w:rFonts w:hint="eastAsia" w:ascii="仿宋" w:hAnsi="仿宋" w:eastAsia="仿宋" w:cs="仿宋"/>
          <w:i w:val="0"/>
          <w:iCs w:val="0"/>
          <w:caps w:val="0"/>
          <w:color w:val="auto"/>
          <w:spacing w:val="0"/>
          <w:sz w:val="31"/>
          <w:szCs w:val="31"/>
        </w:rPr>
      </w:pPr>
      <w:r>
        <w:rPr>
          <w:rFonts w:hint="eastAsia" w:ascii="仿宋" w:hAnsi="仿宋" w:eastAsia="仿宋" w:cs="仿宋"/>
          <w:i w:val="0"/>
          <w:iCs w:val="0"/>
          <w:caps w:val="0"/>
          <w:color w:val="auto"/>
          <w:spacing w:val="0"/>
          <w:sz w:val="31"/>
          <w:szCs w:val="31"/>
          <w:shd w:val="clear" w:fill="FFFFFF"/>
        </w:rPr>
        <w:t>（2）公务用车运行费</w:t>
      </w:r>
      <w:r>
        <w:rPr>
          <w:rFonts w:hint="eastAsia" w:ascii="仿宋" w:hAnsi="仿宋" w:eastAsia="仿宋" w:cs="仿宋"/>
          <w:i w:val="0"/>
          <w:iCs w:val="0"/>
          <w:caps w:val="0"/>
          <w:color w:val="auto"/>
          <w:spacing w:val="0"/>
          <w:sz w:val="31"/>
          <w:szCs w:val="31"/>
          <w:shd w:val="clear" w:fill="FFFFFF"/>
          <w:lang w:val="en-US" w:eastAsia="zh-CN"/>
        </w:rPr>
        <w:t>0</w:t>
      </w:r>
      <w:r>
        <w:rPr>
          <w:rFonts w:hint="eastAsia" w:ascii="仿宋" w:hAnsi="仿宋" w:eastAsia="仿宋" w:cs="仿宋"/>
          <w:i w:val="0"/>
          <w:iCs w:val="0"/>
          <w:caps w:val="0"/>
          <w:color w:val="auto"/>
          <w:spacing w:val="0"/>
          <w:sz w:val="31"/>
          <w:szCs w:val="31"/>
          <w:shd w:val="clear" w:fill="FFFFFF"/>
        </w:rPr>
        <w:t>万元，完成年初预算的</w:t>
      </w:r>
      <w:r>
        <w:rPr>
          <w:rFonts w:hint="eastAsia" w:ascii="仿宋" w:hAnsi="仿宋" w:eastAsia="仿宋" w:cs="仿宋"/>
          <w:i w:val="0"/>
          <w:iCs w:val="0"/>
          <w:caps w:val="0"/>
          <w:color w:val="auto"/>
          <w:spacing w:val="0"/>
          <w:sz w:val="31"/>
          <w:szCs w:val="31"/>
          <w:shd w:val="clear" w:fill="FFFFFF"/>
          <w:lang w:val="en-US" w:eastAsia="zh-CN"/>
        </w:rPr>
        <w:t>0</w:t>
      </w:r>
      <w:r>
        <w:rPr>
          <w:rFonts w:hint="eastAsia" w:ascii="仿宋" w:hAnsi="仿宋" w:eastAsia="仿宋" w:cs="仿宋"/>
          <w:i w:val="0"/>
          <w:iCs w:val="0"/>
          <w:caps w:val="0"/>
          <w:color w:val="auto"/>
          <w:spacing w:val="0"/>
          <w:sz w:val="31"/>
          <w:szCs w:val="31"/>
          <w:shd w:val="clear" w:fill="FFFFFF"/>
        </w:rPr>
        <w:t>％，比年初预算减少了</w:t>
      </w:r>
      <w:r>
        <w:rPr>
          <w:rFonts w:hint="eastAsia" w:ascii="仿宋" w:hAnsi="仿宋" w:eastAsia="仿宋" w:cs="仿宋"/>
          <w:i w:val="0"/>
          <w:iCs w:val="0"/>
          <w:caps w:val="0"/>
          <w:color w:val="auto"/>
          <w:spacing w:val="0"/>
          <w:sz w:val="31"/>
          <w:szCs w:val="31"/>
          <w:shd w:val="clear" w:fill="FFFFFF"/>
          <w:lang w:val="en-US" w:eastAsia="zh-CN"/>
        </w:rPr>
        <w:t>0</w:t>
      </w:r>
      <w:r>
        <w:rPr>
          <w:rFonts w:hint="eastAsia" w:ascii="仿宋" w:hAnsi="仿宋" w:eastAsia="仿宋" w:cs="仿宋"/>
          <w:i w:val="0"/>
          <w:iCs w:val="0"/>
          <w:caps w:val="0"/>
          <w:color w:val="auto"/>
          <w:spacing w:val="0"/>
          <w:sz w:val="31"/>
          <w:szCs w:val="31"/>
          <w:shd w:val="clear" w:fill="FFFFFF"/>
        </w:rPr>
        <w:t>万元，下降了</w:t>
      </w:r>
      <w:r>
        <w:rPr>
          <w:rFonts w:hint="eastAsia" w:ascii="仿宋" w:hAnsi="仿宋" w:eastAsia="仿宋" w:cs="仿宋"/>
          <w:i w:val="0"/>
          <w:iCs w:val="0"/>
          <w:caps w:val="0"/>
          <w:color w:val="auto"/>
          <w:spacing w:val="0"/>
          <w:sz w:val="31"/>
          <w:szCs w:val="31"/>
          <w:shd w:val="clear" w:fill="FFFFFF"/>
          <w:lang w:val="en-US" w:eastAsia="zh-CN"/>
        </w:rPr>
        <w:t>0</w:t>
      </w:r>
      <w:r>
        <w:rPr>
          <w:rFonts w:hint="eastAsia" w:ascii="仿宋" w:hAnsi="仿宋" w:eastAsia="仿宋" w:cs="仿宋"/>
          <w:i w:val="0"/>
          <w:iCs w:val="0"/>
          <w:caps w:val="0"/>
          <w:color w:val="auto"/>
          <w:spacing w:val="0"/>
          <w:sz w:val="31"/>
          <w:szCs w:val="31"/>
          <w:shd w:val="clear" w:fill="FFFFFF"/>
        </w:rPr>
        <w:t>％，决算数小于预算数的主要原因是：认真贯彻落实中央八项规定精神和厉行节约要求，从严控制公车运维经费支出。决算数较上年减少0万元，下降了</w:t>
      </w:r>
      <w:r>
        <w:rPr>
          <w:rFonts w:hint="eastAsia" w:ascii="仿宋" w:hAnsi="仿宋" w:eastAsia="仿宋" w:cs="仿宋"/>
          <w:i w:val="0"/>
          <w:iCs w:val="0"/>
          <w:caps w:val="0"/>
          <w:color w:val="auto"/>
          <w:spacing w:val="0"/>
          <w:sz w:val="31"/>
          <w:szCs w:val="31"/>
          <w:shd w:val="clear" w:fill="FFFFFF"/>
          <w:lang w:val="en-US" w:eastAsia="zh-CN"/>
        </w:rPr>
        <w:t>0</w:t>
      </w:r>
      <w:r>
        <w:rPr>
          <w:rFonts w:hint="eastAsia" w:ascii="仿宋" w:hAnsi="仿宋" w:eastAsia="仿宋" w:cs="仿宋"/>
          <w:i w:val="0"/>
          <w:iCs w:val="0"/>
          <w:caps w:val="0"/>
          <w:color w:val="auto"/>
          <w:spacing w:val="0"/>
          <w:sz w:val="31"/>
          <w:szCs w:val="31"/>
          <w:shd w:val="clear" w:fill="FFFFFF"/>
        </w:rPr>
        <w:t>％，决算数较上年减少的原因是：受疫情影响，县内调研次数减少，路桥费及路费相应减少。截止2022年12月31日，开支财政拨款的公务用车保有量为</w:t>
      </w:r>
      <w:r>
        <w:rPr>
          <w:rFonts w:hint="eastAsia" w:ascii="仿宋" w:hAnsi="仿宋" w:eastAsia="仿宋" w:cs="仿宋"/>
          <w:i w:val="0"/>
          <w:iCs w:val="0"/>
          <w:caps w:val="0"/>
          <w:color w:val="auto"/>
          <w:spacing w:val="0"/>
          <w:sz w:val="31"/>
          <w:szCs w:val="31"/>
          <w:shd w:val="clear" w:fill="FFFFFF"/>
          <w:lang w:val="en-US" w:eastAsia="zh-CN"/>
        </w:rPr>
        <w:t>0</w:t>
      </w:r>
      <w:r>
        <w:rPr>
          <w:rFonts w:hint="eastAsia" w:ascii="仿宋" w:hAnsi="仿宋" w:eastAsia="仿宋" w:cs="仿宋"/>
          <w:i w:val="0"/>
          <w:iCs w:val="0"/>
          <w:caps w:val="0"/>
          <w:color w:val="auto"/>
          <w:spacing w:val="0"/>
          <w:sz w:val="31"/>
          <w:szCs w:val="31"/>
          <w:shd w:val="clear" w:fill="FFFFFF"/>
        </w:rPr>
        <w:t>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65" w:beforeAutospacing="0" w:after="75" w:afterAutospacing="0" w:line="525" w:lineRule="atLeast"/>
        <w:ind w:left="0" w:right="0" w:firstLine="420"/>
        <w:jc w:val="both"/>
        <w:rPr>
          <w:rFonts w:hint="eastAsia" w:ascii="仿宋" w:hAnsi="仿宋" w:eastAsia="仿宋" w:cs="仿宋"/>
          <w:i w:val="0"/>
          <w:iCs w:val="0"/>
          <w:caps w:val="0"/>
          <w:color w:val="auto"/>
          <w:spacing w:val="0"/>
          <w:sz w:val="31"/>
          <w:szCs w:val="31"/>
        </w:rPr>
      </w:pPr>
      <w:r>
        <w:rPr>
          <w:rFonts w:hint="eastAsia" w:ascii="仿宋" w:hAnsi="仿宋" w:eastAsia="仿宋" w:cs="仿宋"/>
          <w:i w:val="0"/>
          <w:iCs w:val="0"/>
          <w:caps w:val="0"/>
          <w:color w:val="auto"/>
          <w:spacing w:val="0"/>
          <w:sz w:val="31"/>
          <w:szCs w:val="31"/>
          <w:shd w:val="clear" w:fill="FFFFFF"/>
        </w:rPr>
        <w:t>3．公务接待费支出决算为</w:t>
      </w:r>
      <w:r>
        <w:rPr>
          <w:rFonts w:hint="eastAsia" w:ascii="仿宋" w:hAnsi="仿宋" w:eastAsia="仿宋" w:cs="仿宋"/>
          <w:i w:val="0"/>
          <w:iCs w:val="0"/>
          <w:caps w:val="0"/>
          <w:color w:val="auto"/>
          <w:spacing w:val="0"/>
          <w:sz w:val="31"/>
          <w:szCs w:val="31"/>
          <w:shd w:val="clear" w:fill="FFFFFF"/>
          <w:lang w:val="en-US" w:eastAsia="zh-CN"/>
        </w:rPr>
        <w:t>4.49</w:t>
      </w:r>
      <w:r>
        <w:rPr>
          <w:rFonts w:hint="eastAsia" w:ascii="仿宋" w:hAnsi="仿宋" w:eastAsia="仿宋" w:cs="仿宋"/>
          <w:i w:val="0"/>
          <w:iCs w:val="0"/>
          <w:caps w:val="0"/>
          <w:color w:val="auto"/>
          <w:spacing w:val="0"/>
          <w:sz w:val="31"/>
          <w:szCs w:val="31"/>
          <w:shd w:val="clear" w:fill="FFFFFF"/>
        </w:rPr>
        <w:t>万元，完成年初预算的</w:t>
      </w:r>
      <w:r>
        <w:rPr>
          <w:rFonts w:hint="eastAsia" w:ascii="仿宋" w:hAnsi="仿宋" w:eastAsia="仿宋" w:cs="仿宋"/>
          <w:i w:val="0"/>
          <w:iCs w:val="0"/>
          <w:caps w:val="0"/>
          <w:color w:val="auto"/>
          <w:spacing w:val="0"/>
          <w:sz w:val="31"/>
          <w:szCs w:val="31"/>
          <w:shd w:val="clear" w:fill="FFFFFF"/>
          <w:lang w:val="en-US" w:eastAsia="zh-CN"/>
        </w:rPr>
        <w:t>20.98</w:t>
      </w:r>
      <w:r>
        <w:rPr>
          <w:rFonts w:hint="eastAsia" w:ascii="仿宋" w:hAnsi="仿宋" w:eastAsia="仿宋" w:cs="仿宋"/>
          <w:i w:val="0"/>
          <w:iCs w:val="0"/>
          <w:caps w:val="0"/>
          <w:color w:val="auto"/>
          <w:spacing w:val="0"/>
          <w:sz w:val="31"/>
          <w:szCs w:val="31"/>
          <w:shd w:val="clear" w:fill="FFFFFF"/>
        </w:rPr>
        <w:t>％，比年初预算减少</w:t>
      </w:r>
      <w:r>
        <w:rPr>
          <w:rFonts w:hint="eastAsia" w:ascii="仿宋" w:hAnsi="仿宋" w:eastAsia="仿宋" w:cs="仿宋"/>
          <w:i w:val="0"/>
          <w:iCs w:val="0"/>
          <w:caps w:val="0"/>
          <w:color w:val="auto"/>
          <w:spacing w:val="0"/>
          <w:sz w:val="31"/>
          <w:szCs w:val="31"/>
          <w:shd w:val="clear" w:fill="FFFFFF"/>
          <w:lang w:val="en-US" w:eastAsia="zh-CN"/>
        </w:rPr>
        <w:t>16.91</w:t>
      </w:r>
      <w:r>
        <w:rPr>
          <w:rFonts w:hint="eastAsia" w:ascii="仿宋" w:hAnsi="仿宋" w:eastAsia="仿宋" w:cs="仿宋"/>
          <w:i w:val="0"/>
          <w:iCs w:val="0"/>
          <w:caps w:val="0"/>
          <w:color w:val="auto"/>
          <w:spacing w:val="0"/>
          <w:sz w:val="31"/>
          <w:szCs w:val="31"/>
          <w:shd w:val="clear" w:fill="FFFFFF"/>
        </w:rPr>
        <w:t>万元，减少的主要原因是认真贯彻落实“党政机关要坚持过紧日子”的要求，厉行节约，从严控制公务接待费开支；较上年减少</w:t>
      </w:r>
      <w:r>
        <w:rPr>
          <w:rFonts w:hint="eastAsia" w:ascii="仿宋" w:hAnsi="仿宋" w:eastAsia="仿宋" w:cs="仿宋"/>
          <w:i w:val="0"/>
          <w:iCs w:val="0"/>
          <w:caps w:val="0"/>
          <w:color w:val="auto"/>
          <w:spacing w:val="0"/>
          <w:sz w:val="31"/>
          <w:szCs w:val="31"/>
          <w:shd w:val="clear" w:fill="FFFFFF"/>
          <w:lang w:val="en-US" w:eastAsia="zh-CN"/>
        </w:rPr>
        <w:t>1.61</w:t>
      </w:r>
      <w:r>
        <w:rPr>
          <w:rFonts w:hint="eastAsia" w:ascii="仿宋" w:hAnsi="仿宋" w:eastAsia="仿宋" w:cs="仿宋"/>
          <w:i w:val="0"/>
          <w:iCs w:val="0"/>
          <w:caps w:val="0"/>
          <w:color w:val="auto"/>
          <w:spacing w:val="0"/>
          <w:sz w:val="31"/>
          <w:szCs w:val="31"/>
          <w:shd w:val="clear" w:fill="FFFFFF"/>
        </w:rPr>
        <w:t>万元，下降</w:t>
      </w:r>
      <w:r>
        <w:rPr>
          <w:rFonts w:hint="eastAsia" w:ascii="仿宋" w:hAnsi="仿宋" w:eastAsia="仿宋" w:cs="仿宋"/>
          <w:i w:val="0"/>
          <w:iCs w:val="0"/>
          <w:caps w:val="0"/>
          <w:color w:val="auto"/>
          <w:spacing w:val="0"/>
          <w:sz w:val="31"/>
          <w:szCs w:val="31"/>
          <w:shd w:val="clear" w:fill="FFFFFF"/>
          <w:lang w:val="en-US" w:eastAsia="zh-CN"/>
        </w:rPr>
        <w:t>26.3</w:t>
      </w:r>
      <w:r>
        <w:rPr>
          <w:rFonts w:hint="eastAsia" w:ascii="仿宋" w:hAnsi="仿宋" w:eastAsia="仿宋" w:cs="仿宋"/>
          <w:i w:val="0"/>
          <w:iCs w:val="0"/>
          <w:caps w:val="0"/>
          <w:color w:val="auto"/>
          <w:spacing w:val="0"/>
          <w:sz w:val="31"/>
          <w:szCs w:val="31"/>
          <w:shd w:val="clear" w:fill="FFFFFF"/>
        </w:rPr>
        <w:t>％　，减少的主要原因是：受疫情影响，为避免人员聚集，从严控制公务接待开支，公务接待人员及批次较上年相应减少。其中：</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65" w:beforeAutospacing="0" w:after="75" w:afterAutospacing="0" w:line="525" w:lineRule="atLeast"/>
        <w:ind w:left="0" w:right="0" w:firstLine="420"/>
        <w:jc w:val="both"/>
        <w:rPr>
          <w:rFonts w:hint="eastAsia" w:ascii="仿宋" w:hAnsi="仿宋" w:eastAsia="仿宋" w:cs="仿宋"/>
          <w:i w:val="0"/>
          <w:iCs w:val="0"/>
          <w:caps w:val="0"/>
          <w:color w:val="auto"/>
          <w:spacing w:val="0"/>
          <w:sz w:val="31"/>
          <w:szCs w:val="31"/>
        </w:rPr>
      </w:pPr>
      <w:r>
        <w:rPr>
          <w:rFonts w:hint="eastAsia" w:ascii="仿宋" w:hAnsi="仿宋" w:eastAsia="仿宋" w:cs="仿宋"/>
          <w:i w:val="0"/>
          <w:iCs w:val="0"/>
          <w:caps w:val="0"/>
          <w:color w:val="auto"/>
          <w:spacing w:val="0"/>
          <w:sz w:val="31"/>
          <w:szCs w:val="31"/>
          <w:shd w:val="clear" w:fill="FFFFFF"/>
        </w:rPr>
        <w:t>外宾接待支出0万元，2022年共接待来访团组0个，0人次（不包括陪同人员）。</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65" w:beforeAutospacing="0" w:after="75" w:afterAutospacing="0" w:line="525" w:lineRule="atLeast"/>
        <w:ind w:left="0" w:right="0" w:firstLine="420"/>
        <w:jc w:val="both"/>
        <w:rPr>
          <w:rFonts w:hint="eastAsia"/>
          <w:color w:val="auto"/>
        </w:rPr>
      </w:pPr>
      <w:r>
        <w:rPr>
          <w:rFonts w:hint="eastAsia" w:ascii="仿宋" w:hAnsi="仿宋" w:eastAsia="仿宋" w:cs="仿宋"/>
          <w:i w:val="0"/>
          <w:iCs w:val="0"/>
          <w:caps w:val="0"/>
          <w:color w:val="auto"/>
          <w:spacing w:val="0"/>
          <w:sz w:val="31"/>
          <w:szCs w:val="31"/>
          <w:shd w:val="clear" w:fill="FFFFFF"/>
        </w:rPr>
        <w:t>国内公务接待支出</w:t>
      </w:r>
      <w:r>
        <w:rPr>
          <w:rFonts w:hint="eastAsia" w:ascii="仿宋" w:hAnsi="仿宋" w:eastAsia="仿宋" w:cs="仿宋"/>
          <w:i w:val="0"/>
          <w:iCs w:val="0"/>
          <w:caps w:val="0"/>
          <w:color w:val="auto"/>
          <w:spacing w:val="0"/>
          <w:sz w:val="31"/>
          <w:szCs w:val="31"/>
          <w:shd w:val="clear" w:fill="FFFFFF"/>
          <w:lang w:val="en-US" w:eastAsia="zh-CN"/>
        </w:rPr>
        <w:t>4.49</w:t>
      </w:r>
      <w:r>
        <w:rPr>
          <w:rFonts w:hint="eastAsia" w:ascii="仿宋" w:hAnsi="仿宋" w:eastAsia="仿宋" w:cs="仿宋"/>
          <w:i w:val="0"/>
          <w:iCs w:val="0"/>
          <w:caps w:val="0"/>
          <w:color w:val="auto"/>
          <w:spacing w:val="0"/>
          <w:sz w:val="31"/>
          <w:szCs w:val="31"/>
          <w:shd w:val="clear" w:fill="FFFFFF"/>
        </w:rPr>
        <w:t>万元，接待对象主要是国内相关工作单位，主要是开展周边县市单位来我局交流工作及我局接受上级部门检查指导工作。2022年共接待国内来访团组</w:t>
      </w:r>
      <w:r>
        <w:rPr>
          <w:rFonts w:hint="eastAsia" w:ascii="仿宋" w:hAnsi="仿宋" w:eastAsia="仿宋" w:cs="仿宋"/>
          <w:i w:val="0"/>
          <w:iCs w:val="0"/>
          <w:caps w:val="0"/>
          <w:color w:val="auto"/>
          <w:spacing w:val="0"/>
          <w:sz w:val="31"/>
          <w:szCs w:val="31"/>
          <w:shd w:val="clear" w:fill="FFFFFF"/>
          <w:lang w:val="en-US" w:eastAsia="zh-CN"/>
        </w:rPr>
        <w:t>90</w:t>
      </w:r>
      <w:r>
        <w:rPr>
          <w:rFonts w:hint="eastAsia" w:ascii="仿宋" w:hAnsi="仿宋" w:eastAsia="仿宋" w:cs="仿宋"/>
          <w:i w:val="0"/>
          <w:iCs w:val="0"/>
          <w:caps w:val="0"/>
          <w:color w:val="auto"/>
          <w:spacing w:val="0"/>
          <w:sz w:val="31"/>
          <w:szCs w:val="31"/>
          <w:shd w:val="clear" w:fill="FFFFFF"/>
        </w:rPr>
        <w:t>个，</w:t>
      </w:r>
      <w:r>
        <w:rPr>
          <w:rFonts w:hint="eastAsia" w:ascii="仿宋" w:hAnsi="仿宋" w:eastAsia="仿宋" w:cs="仿宋"/>
          <w:i w:val="0"/>
          <w:iCs w:val="0"/>
          <w:caps w:val="0"/>
          <w:color w:val="auto"/>
          <w:spacing w:val="0"/>
          <w:sz w:val="31"/>
          <w:szCs w:val="31"/>
          <w:shd w:val="clear" w:fill="FFFFFF"/>
          <w:lang w:val="en-US" w:eastAsia="zh-CN"/>
        </w:rPr>
        <w:t>900</w:t>
      </w:r>
      <w:r>
        <w:rPr>
          <w:rFonts w:hint="eastAsia" w:ascii="仿宋" w:hAnsi="仿宋" w:eastAsia="仿宋" w:cs="仿宋"/>
          <w:i w:val="0"/>
          <w:iCs w:val="0"/>
          <w:caps w:val="0"/>
          <w:color w:val="auto"/>
          <w:spacing w:val="0"/>
          <w:sz w:val="31"/>
          <w:szCs w:val="31"/>
          <w:shd w:val="clear" w:fill="FFFFFF"/>
        </w:rPr>
        <w:t>人次（不包括陪同人员）。</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textAlignment w:val="auto"/>
        <w:rPr>
          <w:rFonts w:hint="eastAsia" w:ascii="仿宋" w:hAnsi="仿宋" w:eastAsia="仿宋" w:cs="仿宋"/>
          <w:b/>
          <w:bCs w:val="0"/>
          <w:color w:val="auto"/>
          <w:sz w:val="32"/>
          <w:szCs w:val="32"/>
        </w:rPr>
      </w:pPr>
      <w:r>
        <w:rPr>
          <w:rFonts w:hint="eastAsia" w:ascii="仿宋" w:hAnsi="仿宋" w:eastAsia="仿宋" w:cs="仿宋"/>
          <w:b/>
          <w:bCs w:val="0"/>
          <w:color w:val="auto"/>
          <w:sz w:val="32"/>
          <w:szCs w:val="32"/>
        </w:rPr>
        <w:t>十、机关运行经费支出情况说明</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bCs/>
          <w:color w:val="auto"/>
          <w:sz w:val="32"/>
          <w:szCs w:val="32"/>
        </w:rPr>
      </w:pPr>
      <w:r>
        <w:rPr>
          <w:rFonts w:hint="eastAsia" w:ascii="仿宋" w:hAnsi="仿宋" w:eastAsia="仿宋" w:cs="仿宋"/>
          <w:bCs/>
          <w:color w:val="auto"/>
          <w:sz w:val="32"/>
          <w:szCs w:val="32"/>
        </w:rPr>
        <w:t>本部门（单位）机关运行经费支出（财政拨款）为</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65" w:beforeAutospacing="0" w:after="75" w:afterAutospacing="0" w:line="525" w:lineRule="atLeast"/>
        <w:ind w:left="0" w:right="0" w:firstLine="420"/>
        <w:jc w:val="both"/>
        <w:rPr>
          <w:rFonts w:hint="default" w:ascii="仿宋" w:hAnsi="仿宋" w:eastAsia="仿宋" w:cs="仿宋"/>
          <w:color w:val="auto"/>
          <w:sz w:val="32"/>
          <w:szCs w:val="32"/>
          <w:lang w:val="en-US" w:eastAsia="zh-CN"/>
        </w:rPr>
      </w:pP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"小计"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7597.5</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rPr>
        <w:t>万元，主要用于日常公用支出，</w:t>
      </w:r>
      <w:r>
        <w:rPr>
          <w:rFonts w:hint="eastAsia" w:ascii="仿宋" w:hAnsi="仿宋" w:eastAsia="仿宋" w:cs="仿宋"/>
          <w:bCs/>
          <w:color w:val="auto"/>
          <w:sz w:val="32"/>
          <w:szCs w:val="32"/>
          <w:lang w:val="en-US" w:eastAsia="zh-CN"/>
        </w:rPr>
        <w:t>年初预算数为</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"小计"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7597.5</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val="en-US" w:eastAsia="zh-CN"/>
        </w:rPr>
        <w:t>万元，无增加。</w:t>
      </w:r>
      <w:r>
        <w:rPr>
          <w:rFonts w:hint="eastAsia" w:ascii="仿宋" w:hAnsi="仿宋" w:eastAsia="仿宋" w:cs="仿宋"/>
          <w:bCs/>
          <w:color w:val="auto"/>
          <w:sz w:val="32"/>
          <w:szCs w:val="32"/>
        </w:rPr>
        <w:t>其中：办公费</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"办公费"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2079.74</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rPr>
        <w:t>万元，印刷费</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"印刷费"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279.35</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rPr>
        <w:t>万元，</w:t>
      </w:r>
      <w:r>
        <w:rPr>
          <w:rFonts w:hint="eastAsia" w:ascii="仿宋" w:hAnsi="仿宋" w:eastAsia="仿宋" w:cs="仿宋"/>
          <w:bCs/>
          <w:color w:val="auto"/>
          <w:sz w:val="32"/>
          <w:szCs w:val="32"/>
          <w:lang w:val="en-US" w:eastAsia="zh-CN"/>
        </w:rPr>
        <w:t>咨询费</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"咨询费"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0.8</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val="en-US" w:eastAsia="zh-CN"/>
        </w:rPr>
        <w:t>万元，</w:t>
      </w:r>
      <w:r>
        <w:rPr>
          <w:rFonts w:hint="eastAsia" w:ascii="仿宋" w:hAnsi="仿宋" w:eastAsia="仿宋" w:cs="仿宋"/>
          <w:bCs/>
          <w:color w:val="auto"/>
          <w:sz w:val="32"/>
          <w:szCs w:val="32"/>
        </w:rPr>
        <w:t>水费</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"水费"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245.95</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rPr>
        <w:t>万元，电费</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"电费"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565.4</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rPr>
        <w:t>万元，邮电费</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"邮电费"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111.59</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rPr>
        <w:t>万元，</w:t>
      </w:r>
      <w:r>
        <w:rPr>
          <w:rFonts w:hint="eastAsia" w:ascii="仿宋" w:hAnsi="仿宋" w:eastAsia="仿宋" w:cs="仿宋"/>
          <w:bCs/>
          <w:color w:val="auto"/>
          <w:sz w:val="32"/>
          <w:szCs w:val="32"/>
          <w:lang w:val="en-US" w:eastAsia="zh-CN"/>
        </w:rPr>
        <w:t>物理管理</w:t>
      </w:r>
      <w:r>
        <w:rPr>
          <w:rFonts w:hint="eastAsia" w:ascii="仿宋" w:hAnsi="仿宋" w:eastAsia="仿宋" w:cs="仿宋"/>
          <w:bCs/>
          <w:color w:val="auto"/>
          <w:sz w:val="32"/>
          <w:szCs w:val="32"/>
        </w:rPr>
        <w:t>费为</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"物业管理费"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15.45</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rPr>
        <w:t>万元，差旅费为</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"差旅费"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54.39</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rPr>
        <w:t>万元，维修费</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"维修（护）费"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1230.78</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rPr>
        <w:t>万元，</w:t>
      </w:r>
      <w:r>
        <w:rPr>
          <w:rFonts w:hint="eastAsia" w:ascii="仿宋" w:hAnsi="仿宋" w:eastAsia="仿宋" w:cs="仿宋"/>
          <w:bCs/>
          <w:color w:val="auto"/>
          <w:sz w:val="32"/>
          <w:szCs w:val="32"/>
          <w:lang w:val="en-US" w:eastAsia="zh-CN"/>
        </w:rPr>
        <w:t>租赁费</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"租赁费"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71.57</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val="en-US" w:eastAsia="zh-CN"/>
        </w:rPr>
        <w:t>万元，会议费</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"会议费"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8.92</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val="en-US" w:eastAsia="zh-CN"/>
        </w:rPr>
        <w:t>万元，</w:t>
      </w:r>
      <w:r>
        <w:rPr>
          <w:rFonts w:hint="eastAsia" w:ascii="仿宋" w:hAnsi="仿宋" w:eastAsia="仿宋" w:cs="仿宋"/>
          <w:bCs/>
          <w:color w:val="auto"/>
          <w:sz w:val="32"/>
          <w:szCs w:val="32"/>
        </w:rPr>
        <w:t>培训费</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"培训费"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76.32</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rPr>
        <w:t>万元，</w:t>
      </w:r>
      <w:r>
        <w:rPr>
          <w:rFonts w:hint="eastAsia" w:ascii="仿宋" w:hAnsi="仿宋" w:eastAsia="仿宋" w:cs="仿宋"/>
          <w:bCs/>
          <w:color w:val="auto"/>
          <w:sz w:val="32"/>
          <w:szCs w:val="32"/>
          <w:lang w:val="en-US" w:eastAsia="zh-CN"/>
        </w:rPr>
        <w:t>公务接待费</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"公务接待费"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4.49</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val="en-US" w:eastAsia="zh-CN"/>
        </w:rPr>
        <w:t>万元，专用材料费</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"专用材料费"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53.54</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val="en-US" w:eastAsia="zh-CN"/>
        </w:rPr>
        <w:t>万元，</w:t>
      </w:r>
      <w:r>
        <w:rPr>
          <w:rFonts w:hint="eastAsia" w:ascii="仿宋" w:hAnsi="仿宋" w:eastAsia="仿宋" w:cs="仿宋"/>
          <w:bCs/>
          <w:color w:val="auto"/>
          <w:sz w:val="32"/>
          <w:szCs w:val="32"/>
        </w:rPr>
        <w:t>劳务费</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"劳务费"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581.53</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rPr>
        <w:t>万元，工会费为</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"工会经费"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614.13</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rPr>
        <w:t>元，其他交通费</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"其他交通费用"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203.7</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rPr>
        <w:t>万元，</w:t>
      </w:r>
      <w:r>
        <w:rPr>
          <w:rFonts w:hint="eastAsia" w:ascii="仿宋" w:hAnsi="仿宋" w:eastAsia="仿宋" w:cs="仿宋"/>
          <w:bCs/>
          <w:color w:val="auto"/>
          <w:sz w:val="32"/>
          <w:szCs w:val="32"/>
          <w:lang w:val="en-US" w:eastAsia="zh-CN"/>
        </w:rPr>
        <w:t>税金及附加费用</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"税金及附加费用"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2.2</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val="en-US" w:eastAsia="zh-CN"/>
        </w:rPr>
        <w:t>万元，</w:t>
      </w:r>
      <w:r>
        <w:rPr>
          <w:rFonts w:hint="eastAsia" w:ascii="仿宋" w:hAnsi="仿宋" w:eastAsia="仿宋" w:cs="仿宋"/>
          <w:bCs/>
          <w:color w:val="auto"/>
          <w:sz w:val="32"/>
          <w:szCs w:val="32"/>
        </w:rPr>
        <w:t>其他商品和服务支出</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"其他商品和服务支出"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1397.65</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rPr>
        <w:t>万元。</w:t>
      </w:r>
      <w:r>
        <w:rPr>
          <w:rFonts w:hint="eastAsia" w:ascii="仿宋" w:hAnsi="仿宋" w:eastAsia="仿宋" w:cs="仿宋"/>
          <w:i w:val="0"/>
          <w:iCs w:val="0"/>
          <w:caps w:val="0"/>
          <w:color w:val="auto"/>
          <w:spacing w:val="0"/>
          <w:sz w:val="31"/>
          <w:szCs w:val="31"/>
          <w:shd w:val="clear" w:fill="FFFFFF"/>
        </w:rPr>
        <w:t>2022年机关运行经费支出预算为</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"小计"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7597.5</w:t>
      </w:r>
      <w:r>
        <w:rPr>
          <w:rFonts w:hint="eastAsia" w:ascii="仿宋" w:hAnsi="仿宋" w:eastAsia="仿宋" w:cs="仿宋"/>
          <w:bCs/>
          <w:color w:val="auto"/>
          <w:sz w:val="32"/>
          <w:szCs w:val="32"/>
          <w:lang w:val="en-US" w:eastAsia="zh-CN"/>
        </w:rPr>
        <w:fldChar w:fldCharType="end"/>
      </w:r>
      <w:r>
        <w:rPr>
          <w:rFonts w:hint="eastAsia" w:ascii="仿宋" w:hAnsi="仿宋" w:eastAsia="仿宋" w:cs="仿宋"/>
          <w:i w:val="0"/>
          <w:iCs w:val="0"/>
          <w:caps w:val="0"/>
          <w:color w:val="auto"/>
          <w:spacing w:val="0"/>
          <w:sz w:val="31"/>
          <w:szCs w:val="31"/>
          <w:shd w:val="clear" w:fill="FFFFFF"/>
        </w:rPr>
        <w:t>万元，支出决算数为</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"小计"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7597.5</w:t>
      </w:r>
      <w:r>
        <w:rPr>
          <w:rFonts w:hint="eastAsia" w:ascii="仿宋" w:hAnsi="仿宋" w:eastAsia="仿宋" w:cs="仿宋"/>
          <w:bCs/>
          <w:color w:val="auto"/>
          <w:sz w:val="32"/>
          <w:szCs w:val="32"/>
          <w:lang w:val="en-US" w:eastAsia="zh-CN"/>
        </w:rPr>
        <w:fldChar w:fldCharType="end"/>
      </w:r>
      <w:r>
        <w:rPr>
          <w:rFonts w:hint="eastAsia" w:ascii="仿宋" w:hAnsi="仿宋" w:eastAsia="仿宋" w:cs="仿宋"/>
          <w:i w:val="0"/>
          <w:iCs w:val="0"/>
          <w:caps w:val="0"/>
          <w:color w:val="auto"/>
          <w:spacing w:val="0"/>
          <w:sz w:val="31"/>
          <w:szCs w:val="31"/>
          <w:shd w:val="clear" w:fill="FFFFFF"/>
        </w:rPr>
        <w:t>万元，完成预算的</w:t>
      </w:r>
      <w:r>
        <w:rPr>
          <w:rFonts w:hint="eastAsia" w:ascii="仿宋" w:hAnsi="仿宋" w:eastAsia="仿宋" w:cs="仿宋"/>
          <w:i w:val="0"/>
          <w:iCs w:val="0"/>
          <w:caps w:val="0"/>
          <w:color w:val="auto"/>
          <w:spacing w:val="0"/>
          <w:sz w:val="31"/>
          <w:szCs w:val="31"/>
          <w:shd w:val="clear" w:fill="FFFFFF"/>
          <w:lang w:val="en-US" w:eastAsia="zh-CN"/>
        </w:rPr>
        <w:t>100</w:t>
      </w:r>
      <w:r>
        <w:rPr>
          <w:rFonts w:hint="eastAsia" w:ascii="仿宋" w:hAnsi="仿宋" w:eastAsia="仿宋" w:cs="仿宋"/>
          <w:i w:val="0"/>
          <w:iCs w:val="0"/>
          <w:caps w:val="0"/>
          <w:color w:val="auto"/>
          <w:spacing w:val="0"/>
          <w:sz w:val="31"/>
          <w:szCs w:val="31"/>
          <w:shd w:val="clear" w:fill="FFFFFF"/>
        </w:rPr>
        <w:t>％，</w:t>
      </w:r>
      <w:r>
        <w:rPr>
          <w:rFonts w:hint="eastAsia" w:ascii="仿宋" w:hAnsi="仿宋" w:eastAsia="仿宋" w:cs="仿宋"/>
          <w:i w:val="0"/>
          <w:iCs w:val="0"/>
          <w:caps w:val="0"/>
          <w:color w:val="auto"/>
          <w:spacing w:val="0"/>
          <w:sz w:val="31"/>
          <w:szCs w:val="31"/>
          <w:shd w:val="clear" w:fill="FFFFFF"/>
          <w:lang w:val="en-US" w:eastAsia="zh-CN"/>
        </w:rPr>
        <w:t>无增减。</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textAlignment w:val="auto"/>
        <w:rPr>
          <w:rFonts w:hint="eastAsia" w:ascii="仿宋" w:hAnsi="仿宋" w:eastAsia="仿宋" w:cs="仿宋"/>
          <w:b/>
          <w:bCs w:val="0"/>
          <w:color w:val="auto"/>
          <w:sz w:val="32"/>
          <w:szCs w:val="32"/>
        </w:rPr>
      </w:pPr>
      <w:bookmarkStart w:id="24" w:name="OLE_LINK30"/>
      <w:r>
        <w:rPr>
          <w:rFonts w:hint="eastAsia" w:ascii="仿宋" w:hAnsi="仿宋" w:eastAsia="仿宋" w:cs="仿宋"/>
          <w:b/>
          <w:bCs w:val="0"/>
          <w:color w:val="auto"/>
          <w:sz w:val="32"/>
          <w:szCs w:val="32"/>
        </w:rPr>
        <w:t>十</w:t>
      </w:r>
      <w:r>
        <w:rPr>
          <w:rFonts w:hint="eastAsia" w:ascii="仿宋" w:hAnsi="仿宋" w:eastAsia="仿宋" w:cs="仿宋"/>
          <w:b/>
          <w:bCs w:val="0"/>
          <w:color w:val="auto"/>
          <w:sz w:val="32"/>
          <w:szCs w:val="32"/>
          <w:lang w:val="en-US" w:eastAsia="zh-CN"/>
        </w:rPr>
        <w:t>一</w:t>
      </w:r>
      <w:r>
        <w:rPr>
          <w:rFonts w:hint="eastAsia" w:ascii="仿宋" w:hAnsi="仿宋" w:eastAsia="仿宋" w:cs="仿宋"/>
          <w:b/>
          <w:bCs w:val="0"/>
          <w:color w:val="auto"/>
          <w:sz w:val="32"/>
          <w:szCs w:val="32"/>
        </w:rPr>
        <w:t>、政府采购支出情况说明</w:t>
      </w:r>
    </w:p>
    <w:bookmarkEnd w:id="24"/>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Cs/>
          <w:color w:val="auto"/>
          <w:sz w:val="32"/>
          <w:szCs w:val="32"/>
        </w:rPr>
      </w:pPr>
      <w:r>
        <w:rPr>
          <w:rFonts w:hint="eastAsia" w:ascii="仿宋" w:hAnsi="仿宋" w:eastAsia="仿宋" w:cs="仿宋"/>
          <w:bCs/>
          <w:color w:val="auto"/>
          <w:sz w:val="32"/>
          <w:szCs w:val="32"/>
          <w:lang w:eastAsia="zh-CN"/>
        </w:rPr>
        <w:t>崇阳县教育局(汇总)</w:t>
      </w:r>
      <w:r>
        <w:rPr>
          <w:rFonts w:hint="default" w:ascii="仿宋" w:hAnsi="仿宋" w:eastAsia="仿宋" w:cs="仿宋"/>
          <w:bCs/>
          <w:color w:val="auto"/>
          <w:sz w:val="32"/>
          <w:szCs w:val="32"/>
          <w:lang w:val="en-US" w:eastAsia="zh-CN"/>
        </w:rPr>
        <w:t>2022</w:t>
      </w:r>
      <w:r>
        <w:rPr>
          <w:rFonts w:hint="eastAsia" w:ascii="仿宋" w:hAnsi="仿宋" w:eastAsia="仿宋" w:cs="仿宋"/>
          <w:bCs/>
          <w:color w:val="auto"/>
          <w:sz w:val="32"/>
          <w:szCs w:val="32"/>
        </w:rPr>
        <w:t>年度</w:t>
      </w:r>
      <w:r>
        <w:rPr>
          <w:rFonts w:hint="eastAsia" w:ascii="仿宋" w:hAnsi="仿宋" w:eastAsia="仿宋" w:cs="仿宋"/>
          <w:bCs/>
          <w:color w:val="auto"/>
          <w:sz w:val="32"/>
          <w:szCs w:val="32"/>
          <w:lang w:eastAsia="zh-CN"/>
        </w:rPr>
        <w:t>年度政</w:t>
      </w:r>
      <w:bookmarkStart w:id="25" w:name="OLE_LINK31"/>
      <w:r>
        <w:rPr>
          <w:rFonts w:hint="eastAsia" w:ascii="仿宋" w:hAnsi="仿宋" w:eastAsia="仿宋" w:cs="仿宋"/>
          <w:bCs/>
          <w:color w:val="auto"/>
          <w:sz w:val="32"/>
          <w:szCs w:val="32"/>
          <w:lang w:eastAsia="zh-CN"/>
        </w:rPr>
        <w:t>府采购支出总额</w:t>
      </w:r>
      <w:bookmarkEnd w:id="25"/>
      <w:r>
        <w:rPr>
          <w:rFonts w:hint="eastAsia" w:ascii="仿宋" w:hAnsi="仿宋" w:eastAsia="仿宋" w:cs="仿宋"/>
          <w:bCs/>
          <w:color w:val="auto"/>
          <w:sz w:val="32"/>
          <w:szCs w:val="32"/>
          <w:lang w:eastAsia="zh-CN"/>
        </w:rPr>
        <w:t xml:space="preserve"> </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"府采购支出总额"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2223.19</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万元，其中：</w:t>
      </w:r>
      <w:bookmarkStart w:id="26" w:name="OLE_LINK32"/>
      <w:r>
        <w:rPr>
          <w:rFonts w:hint="eastAsia" w:ascii="仿宋" w:hAnsi="仿宋" w:eastAsia="仿宋" w:cs="仿宋"/>
          <w:bCs/>
          <w:color w:val="auto"/>
          <w:sz w:val="32"/>
          <w:szCs w:val="32"/>
          <w:lang w:eastAsia="zh-CN"/>
        </w:rPr>
        <w:t>政府采购货物支出</w:t>
      </w:r>
      <w:bookmarkEnd w:id="26"/>
      <w:r>
        <w:rPr>
          <w:rFonts w:hint="eastAsia" w:ascii="仿宋" w:hAnsi="仿宋" w:eastAsia="仿宋" w:cs="仿宋"/>
          <w:bCs/>
          <w:color w:val="auto"/>
          <w:sz w:val="32"/>
          <w:szCs w:val="32"/>
          <w:lang w:eastAsia="zh-CN"/>
        </w:rPr>
        <w:t xml:space="preserve"> </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"政府采购货物支出"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1050.71</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 xml:space="preserve"> 万元、</w:t>
      </w:r>
      <w:bookmarkStart w:id="27" w:name="OLE_LINK33"/>
      <w:r>
        <w:rPr>
          <w:rFonts w:hint="eastAsia" w:ascii="仿宋" w:hAnsi="仿宋" w:eastAsia="仿宋" w:cs="仿宋"/>
          <w:bCs/>
          <w:color w:val="auto"/>
          <w:sz w:val="32"/>
          <w:szCs w:val="32"/>
          <w:lang w:eastAsia="zh-CN"/>
        </w:rPr>
        <w:t>政府采购工程支出</w:t>
      </w:r>
      <w:bookmarkEnd w:id="27"/>
      <w:r>
        <w:rPr>
          <w:rFonts w:hint="eastAsia" w:ascii="仿宋" w:hAnsi="仿宋" w:eastAsia="仿宋" w:cs="仿宋"/>
          <w:bCs/>
          <w:color w:val="auto"/>
          <w:sz w:val="32"/>
          <w:szCs w:val="32"/>
          <w:lang w:eastAsia="zh-CN"/>
        </w:rPr>
        <w:t xml:space="preserve"> </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"政府采购工程支出"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78.94</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万元、</w:t>
      </w:r>
      <w:bookmarkStart w:id="28" w:name="OLE_LINK34"/>
      <w:r>
        <w:rPr>
          <w:rFonts w:hint="eastAsia" w:ascii="仿宋" w:hAnsi="仿宋" w:eastAsia="仿宋" w:cs="仿宋"/>
          <w:bCs/>
          <w:color w:val="auto"/>
          <w:sz w:val="32"/>
          <w:szCs w:val="32"/>
          <w:lang w:eastAsia="zh-CN"/>
        </w:rPr>
        <w:t>政府采购服务支出</w:t>
      </w:r>
      <w:bookmarkEnd w:id="28"/>
      <w:r>
        <w:rPr>
          <w:rFonts w:hint="eastAsia" w:ascii="仿宋" w:hAnsi="仿宋" w:eastAsia="仿宋" w:cs="仿宋"/>
          <w:bCs/>
          <w:color w:val="auto"/>
          <w:sz w:val="32"/>
          <w:szCs w:val="32"/>
          <w:lang w:eastAsia="zh-CN"/>
        </w:rPr>
        <w:fldChar w:fldCharType="begin"/>
      </w:r>
      <w:r>
        <w:rPr>
          <w:rFonts w:hint="eastAsia" w:ascii="仿宋" w:hAnsi="仿宋" w:eastAsia="仿宋" w:cs="仿宋"/>
          <w:bCs/>
          <w:color w:val="auto"/>
          <w:sz w:val="32"/>
          <w:szCs w:val="32"/>
          <w:lang w:eastAsia="zh-CN"/>
        </w:rPr>
        <w:instrText xml:space="preserve"> MERGEFIELD "政府采购服务支出" </w:instrText>
      </w:r>
      <w:r>
        <w:rPr>
          <w:rFonts w:hint="eastAsia" w:ascii="仿宋" w:hAnsi="仿宋" w:eastAsia="仿宋" w:cs="仿宋"/>
          <w:bCs/>
          <w:color w:val="auto"/>
          <w:sz w:val="32"/>
          <w:szCs w:val="32"/>
          <w:lang w:eastAsia="zh-CN"/>
        </w:rPr>
        <w:fldChar w:fldCharType="separate"/>
      </w:r>
      <w:r>
        <w:rPr>
          <w:rFonts w:hint="eastAsia" w:ascii="仿宋" w:hAnsi="仿宋" w:eastAsia="仿宋" w:cs="仿宋"/>
          <w:bCs/>
          <w:color w:val="auto"/>
          <w:sz w:val="32"/>
          <w:szCs w:val="32"/>
          <w:lang w:eastAsia="zh-CN"/>
        </w:rPr>
        <w:t>1093.54</w:t>
      </w:r>
      <w:r>
        <w:rPr>
          <w:rFonts w:hint="eastAsia" w:ascii="仿宋" w:hAnsi="仿宋" w:eastAsia="仿宋" w:cs="仿宋"/>
          <w:bCs/>
          <w:color w:val="auto"/>
          <w:sz w:val="32"/>
          <w:szCs w:val="32"/>
          <w:lang w:eastAsia="zh-CN"/>
        </w:rPr>
        <w:fldChar w:fldCharType="end"/>
      </w:r>
      <w:r>
        <w:rPr>
          <w:rFonts w:hint="eastAsia" w:ascii="仿宋" w:hAnsi="仿宋" w:eastAsia="仿宋" w:cs="仿宋"/>
          <w:bCs/>
          <w:color w:val="auto"/>
          <w:sz w:val="32"/>
          <w:szCs w:val="32"/>
          <w:lang w:eastAsia="zh-CN"/>
        </w:rPr>
        <w:t>万元。</w:t>
      </w:r>
      <w:bookmarkStart w:id="29" w:name="OLE_LINK35"/>
      <w:r>
        <w:rPr>
          <w:rFonts w:hint="eastAsia" w:ascii="仿宋" w:hAnsi="仿宋" w:eastAsia="仿宋" w:cs="仿宋"/>
          <w:bCs/>
          <w:color w:val="auto"/>
          <w:sz w:val="32"/>
          <w:szCs w:val="32"/>
          <w:lang w:eastAsia="zh-CN"/>
        </w:rPr>
        <w:t>授予中小企业合同金额</w:t>
      </w:r>
      <w:bookmarkEnd w:id="29"/>
      <w:r>
        <w:rPr>
          <w:rFonts w:hint="eastAsia" w:ascii="仿宋" w:hAnsi="仿宋" w:eastAsia="仿宋" w:cs="仿宋"/>
          <w:bCs/>
          <w:color w:val="auto"/>
          <w:sz w:val="32"/>
          <w:szCs w:val="32"/>
          <w:lang w:eastAsia="zh-CN"/>
        </w:rPr>
        <w:t xml:space="preserve"> </w:t>
      </w:r>
      <w:r>
        <w:rPr>
          <w:rFonts w:hint="eastAsia" w:ascii="仿宋" w:hAnsi="仿宋" w:eastAsia="仿宋" w:cs="仿宋"/>
          <w:bCs/>
          <w:color w:val="auto"/>
          <w:sz w:val="32"/>
          <w:szCs w:val="32"/>
          <w:lang w:eastAsia="zh-CN"/>
        </w:rPr>
        <w:fldChar w:fldCharType="begin"/>
      </w:r>
      <w:r>
        <w:rPr>
          <w:rFonts w:hint="eastAsia" w:ascii="仿宋" w:hAnsi="仿宋" w:eastAsia="仿宋" w:cs="仿宋"/>
          <w:bCs/>
          <w:color w:val="auto"/>
          <w:sz w:val="32"/>
          <w:szCs w:val="32"/>
          <w:lang w:eastAsia="zh-CN"/>
        </w:rPr>
        <w:instrText xml:space="preserve"> MERGEFIELD "授予中小企业合同金额" </w:instrText>
      </w:r>
      <w:r>
        <w:rPr>
          <w:rFonts w:hint="eastAsia" w:ascii="仿宋" w:hAnsi="仿宋" w:eastAsia="仿宋" w:cs="仿宋"/>
          <w:bCs/>
          <w:color w:val="auto"/>
          <w:sz w:val="32"/>
          <w:szCs w:val="32"/>
          <w:lang w:eastAsia="zh-CN"/>
        </w:rPr>
        <w:fldChar w:fldCharType="separate"/>
      </w:r>
      <w:r>
        <w:rPr>
          <w:rFonts w:hint="eastAsia" w:ascii="仿宋" w:hAnsi="仿宋" w:eastAsia="仿宋" w:cs="仿宋"/>
          <w:bCs/>
          <w:color w:val="auto"/>
          <w:sz w:val="32"/>
          <w:szCs w:val="32"/>
          <w:lang w:eastAsia="zh-CN"/>
        </w:rPr>
        <w:t>1114.9</w:t>
      </w:r>
      <w:r>
        <w:rPr>
          <w:rFonts w:hint="eastAsia" w:ascii="仿宋" w:hAnsi="仿宋" w:eastAsia="仿宋" w:cs="仿宋"/>
          <w:bCs/>
          <w:color w:val="auto"/>
          <w:sz w:val="32"/>
          <w:szCs w:val="32"/>
          <w:lang w:eastAsia="zh-CN"/>
        </w:rPr>
        <w:fldChar w:fldCharType="end"/>
      </w:r>
      <w:r>
        <w:rPr>
          <w:rFonts w:hint="eastAsia" w:ascii="仿宋" w:hAnsi="仿宋" w:eastAsia="仿宋" w:cs="仿宋"/>
          <w:bCs/>
          <w:color w:val="auto"/>
          <w:sz w:val="32"/>
          <w:szCs w:val="32"/>
          <w:lang w:eastAsia="zh-CN"/>
        </w:rPr>
        <w:t>万元，</w:t>
      </w:r>
      <w:bookmarkStart w:id="30" w:name="OLE_LINK36"/>
      <w:r>
        <w:rPr>
          <w:rFonts w:hint="eastAsia" w:ascii="仿宋" w:hAnsi="仿宋" w:eastAsia="仿宋" w:cs="仿宋"/>
          <w:bCs/>
          <w:color w:val="auto"/>
          <w:sz w:val="32"/>
          <w:szCs w:val="32"/>
          <w:lang w:eastAsia="zh-CN"/>
        </w:rPr>
        <w:t>占政府采购支出</w:t>
      </w:r>
      <w:bookmarkEnd w:id="30"/>
      <w:r>
        <w:rPr>
          <w:rFonts w:hint="eastAsia" w:ascii="仿宋" w:hAnsi="仿宋" w:eastAsia="仿宋" w:cs="仿宋"/>
          <w:bCs/>
          <w:color w:val="auto"/>
          <w:sz w:val="32"/>
          <w:szCs w:val="32"/>
          <w:lang w:eastAsia="zh-CN"/>
        </w:rPr>
        <w:t xml:space="preserve">总额的 </w:t>
      </w:r>
      <w:r>
        <w:rPr>
          <w:rFonts w:hint="eastAsia" w:ascii="仿宋" w:hAnsi="仿宋" w:eastAsia="仿宋" w:cs="仿宋"/>
          <w:bCs/>
          <w:color w:val="auto"/>
          <w:sz w:val="32"/>
          <w:szCs w:val="32"/>
          <w:lang w:val="en-US" w:eastAsia="zh-CN"/>
        </w:rPr>
        <w:fldChar w:fldCharType="begin"/>
      </w:r>
      <w:r>
        <w:rPr>
          <w:rFonts w:hint="eastAsia" w:ascii="仿宋" w:hAnsi="仿宋" w:eastAsia="仿宋" w:cs="仿宋"/>
          <w:bCs/>
          <w:color w:val="auto"/>
          <w:sz w:val="32"/>
          <w:szCs w:val="32"/>
          <w:lang w:val="en-US" w:eastAsia="zh-CN"/>
        </w:rPr>
        <w:instrText xml:space="preserve"> MERGEFIELD "占政府采购支出%" </w:instrText>
      </w:r>
      <w:r>
        <w:rPr>
          <w:rFonts w:hint="eastAsia" w:ascii="仿宋" w:hAnsi="仿宋" w:eastAsia="仿宋" w:cs="仿宋"/>
          <w:bCs/>
          <w:color w:val="auto"/>
          <w:sz w:val="32"/>
          <w:szCs w:val="32"/>
          <w:lang w:val="en-US" w:eastAsia="zh-CN"/>
        </w:rPr>
        <w:fldChar w:fldCharType="separate"/>
      </w:r>
      <w:r>
        <w:rPr>
          <w:rFonts w:hint="eastAsia" w:ascii="仿宋" w:hAnsi="仿宋" w:eastAsia="仿宋" w:cs="仿宋"/>
          <w:bCs/>
          <w:color w:val="auto"/>
          <w:sz w:val="32"/>
          <w:szCs w:val="32"/>
          <w:lang w:val="en-US" w:eastAsia="zh-CN"/>
        </w:rPr>
        <w:t>50.15</w:t>
      </w:r>
      <w:r>
        <w:rPr>
          <w:rFonts w:hint="eastAsia" w:ascii="仿宋" w:hAnsi="仿宋" w:eastAsia="仿宋" w:cs="仿宋"/>
          <w:bCs/>
          <w:color w:val="auto"/>
          <w:sz w:val="32"/>
          <w:szCs w:val="32"/>
          <w:lang w:val="en-US" w:eastAsia="zh-CN"/>
        </w:rPr>
        <w:fldChar w:fldCharType="end"/>
      </w:r>
      <w:r>
        <w:rPr>
          <w:rFonts w:hint="eastAsia" w:ascii="仿宋" w:hAnsi="仿宋" w:eastAsia="仿宋" w:cs="仿宋"/>
          <w:bCs/>
          <w:color w:val="auto"/>
          <w:sz w:val="32"/>
          <w:szCs w:val="32"/>
          <w:lang w:eastAsia="zh-CN"/>
        </w:rPr>
        <w:t>%，其中：</w:t>
      </w:r>
      <w:bookmarkStart w:id="31" w:name="OLE_LINK37"/>
      <w:r>
        <w:rPr>
          <w:rFonts w:hint="eastAsia" w:ascii="仿宋" w:hAnsi="仿宋" w:eastAsia="仿宋" w:cs="仿宋"/>
          <w:bCs/>
          <w:color w:val="auto"/>
          <w:sz w:val="32"/>
          <w:szCs w:val="32"/>
          <w:lang w:eastAsia="zh-CN"/>
        </w:rPr>
        <w:t>授予小微企业合同金额</w:t>
      </w:r>
      <w:bookmarkEnd w:id="31"/>
      <w:r>
        <w:rPr>
          <w:rFonts w:hint="eastAsia" w:ascii="仿宋" w:hAnsi="仿宋" w:eastAsia="仿宋" w:cs="仿宋"/>
          <w:bCs/>
          <w:color w:val="auto"/>
          <w:sz w:val="32"/>
          <w:szCs w:val="32"/>
          <w:lang w:eastAsia="zh-CN"/>
        </w:rPr>
        <w:fldChar w:fldCharType="begin"/>
      </w:r>
      <w:r>
        <w:rPr>
          <w:rFonts w:hint="eastAsia" w:ascii="仿宋" w:hAnsi="仿宋" w:eastAsia="仿宋" w:cs="仿宋"/>
          <w:bCs/>
          <w:color w:val="auto"/>
          <w:sz w:val="32"/>
          <w:szCs w:val="32"/>
          <w:lang w:eastAsia="zh-CN"/>
        </w:rPr>
        <w:instrText xml:space="preserve"> MERGEFIELD "授予小微企业合同金额" </w:instrText>
      </w:r>
      <w:r>
        <w:rPr>
          <w:rFonts w:hint="eastAsia" w:ascii="仿宋" w:hAnsi="仿宋" w:eastAsia="仿宋" w:cs="仿宋"/>
          <w:bCs/>
          <w:color w:val="auto"/>
          <w:sz w:val="32"/>
          <w:szCs w:val="32"/>
          <w:lang w:eastAsia="zh-CN"/>
        </w:rPr>
        <w:fldChar w:fldCharType="separate"/>
      </w:r>
      <w:r>
        <w:rPr>
          <w:rFonts w:hint="eastAsia" w:ascii="仿宋" w:hAnsi="仿宋" w:eastAsia="仿宋" w:cs="仿宋"/>
          <w:bCs/>
          <w:color w:val="auto"/>
          <w:sz w:val="32"/>
          <w:szCs w:val="32"/>
          <w:lang w:eastAsia="zh-CN"/>
        </w:rPr>
        <w:t>1114.9</w:t>
      </w:r>
      <w:r>
        <w:rPr>
          <w:rFonts w:hint="eastAsia" w:ascii="仿宋" w:hAnsi="仿宋" w:eastAsia="仿宋" w:cs="仿宋"/>
          <w:bCs/>
          <w:color w:val="auto"/>
          <w:sz w:val="32"/>
          <w:szCs w:val="32"/>
          <w:lang w:eastAsia="zh-CN"/>
        </w:rPr>
        <w:fldChar w:fldCharType="end"/>
      </w:r>
      <w:r>
        <w:rPr>
          <w:rFonts w:hint="eastAsia" w:ascii="仿宋" w:hAnsi="仿宋" w:eastAsia="仿宋" w:cs="仿宋"/>
          <w:bCs/>
          <w:color w:val="auto"/>
          <w:sz w:val="32"/>
          <w:szCs w:val="32"/>
          <w:lang w:eastAsia="zh-CN"/>
        </w:rPr>
        <w:t xml:space="preserve"> 万元，占政府采购支出总额的</w:t>
      </w:r>
      <w:r>
        <w:rPr>
          <w:rFonts w:hint="eastAsia" w:ascii="仿宋" w:hAnsi="仿宋" w:eastAsia="仿宋" w:cs="仿宋"/>
          <w:bCs/>
          <w:color w:val="auto"/>
          <w:sz w:val="32"/>
          <w:szCs w:val="32"/>
          <w:lang w:eastAsia="zh-CN"/>
        </w:rPr>
        <w:fldChar w:fldCharType="begin"/>
      </w:r>
      <w:r>
        <w:rPr>
          <w:rFonts w:hint="eastAsia" w:ascii="仿宋" w:hAnsi="仿宋" w:eastAsia="仿宋" w:cs="仿宋"/>
          <w:bCs/>
          <w:color w:val="auto"/>
          <w:sz w:val="32"/>
          <w:szCs w:val="32"/>
          <w:lang w:eastAsia="zh-CN"/>
        </w:rPr>
        <w:instrText xml:space="preserve"> MERGEFIELD "占政府采购支出%1" </w:instrText>
      </w:r>
      <w:r>
        <w:rPr>
          <w:rFonts w:hint="eastAsia" w:ascii="仿宋" w:hAnsi="仿宋" w:eastAsia="仿宋" w:cs="仿宋"/>
          <w:bCs/>
          <w:color w:val="auto"/>
          <w:sz w:val="32"/>
          <w:szCs w:val="32"/>
          <w:lang w:eastAsia="zh-CN"/>
        </w:rPr>
        <w:fldChar w:fldCharType="separate"/>
      </w:r>
      <w:r>
        <w:rPr>
          <w:rFonts w:hint="eastAsia" w:ascii="仿宋" w:hAnsi="仿宋" w:eastAsia="仿宋" w:cs="仿宋"/>
          <w:bCs/>
          <w:color w:val="auto"/>
          <w:sz w:val="32"/>
          <w:szCs w:val="32"/>
          <w:lang w:eastAsia="zh-CN"/>
        </w:rPr>
        <w:t>50.15</w:t>
      </w:r>
      <w:r>
        <w:rPr>
          <w:rFonts w:hint="eastAsia" w:ascii="仿宋" w:hAnsi="仿宋" w:eastAsia="仿宋" w:cs="仿宋"/>
          <w:bCs/>
          <w:color w:val="auto"/>
          <w:sz w:val="32"/>
          <w:szCs w:val="32"/>
          <w:lang w:eastAsia="zh-CN"/>
        </w:rPr>
        <w:fldChar w:fldCharType="end"/>
      </w:r>
      <w:r>
        <w:rPr>
          <w:rFonts w:hint="eastAsia" w:ascii="仿宋" w:hAnsi="仿宋" w:eastAsia="仿宋" w:cs="仿宋"/>
          <w:bCs/>
          <w:color w:val="auto"/>
          <w:sz w:val="32"/>
          <w:szCs w:val="32"/>
          <w:lang w:eastAsia="zh-CN"/>
        </w:rPr>
        <w:t>%。</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textAlignment w:val="auto"/>
        <w:rPr>
          <w:rFonts w:hint="eastAsia" w:ascii="仿宋" w:hAnsi="仿宋" w:eastAsia="仿宋" w:cs="仿宋"/>
          <w:b/>
          <w:bCs w:val="0"/>
          <w:color w:val="auto"/>
          <w:sz w:val="32"/>
          <w:szCs w:val="32"/>
        </w:rPr>
      </w:pPr>
      <w:r>
        <w:rPr>
          <w:rFonts w:hint="eastAsia" w:ascii="仿宋" w:hAnsi="仿宋" w:eastAsia="仿宋" w:cs="仿宋"/>
          <w:b/>
          <w:bCs w:val="0"/>
          <w:color w:val="auto"/>
          <w:sz w:val="32"/>
          <w:szCs w:val="32"/>
        </w:rPr>
        <w:t>十</w:t>
      </w:r>
      <w:r>
        <w:rPr>
          <w:rFonts w:hint="eastAsia" w:ascii="仿宋" w:hAnsi="仿宋" w:eastAsia="仿宋" w:cs="仿宋"/>
          <w:b/>
          <w:bCs w:val="0"/>
          <w:color w:val="auto"/>
          <w:sz w:val="32"/>
          <w:szCs w:val="32"/>
          <w:lang w:val="en-US" w:eastAsia="zh-CN"/>
        </w:rPr>
        <w:t>二</w:t>
      </w:r>
      <w:r>
        <w:rPr>
          <w:rFonts w:hint="eastAsia" w:ascii="仿宋" w:hAnsi="仿宋" w:eastAsia="仿宋" w:cs="仿宋"/>
          <w:b/>
          <w:bCs w:val="0"/>
          <w:color w:val="auto"/>
          <w:sz w:val="32"/>
          <w:szCs w:val="32"/>
        </w:rPr>
        <w:t>、国有资产占用情况说明</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65" w:beforeAutospacing="0" w:after="75" w:afterAutospacing="0" w:line="525" w:lineRule="atLeast"/>
        <w:ind w:left="0" w:right="0" w:firstLine="420"/>
        <w:jc w:val="both"/>
        <w:rPr>
          <w:rFonts w:hint="eastAsia"/>
          <w:color w:val="auto"/>
        </w:rPr>
      </w:pPr>
      <w:r>
        <w:rPr>
          <w:rFonts w:hint="eastAsia" w:ascii="仿宋" w:hAnsi="仿宋" w:eastAsia="仿宋" w:cs="仿宋"/>
          <w:i w:val="0"/>
          <w:iCs w:val="0"/>
          <w:caps w:val="0"/>
          <w:color w:val="auto"/>
          <w:spacing w:val="0"/>
          <w:sz w:val="31"/>
          <w:szCs w:val="31"/>
          <w:shd w:val="clear" w:fill="FFFFFF"/>
        </w:rPr>
        <w:t>截至2022年12月31日，</w:t>
      </w:r>
      <w:r>
        <w:rPr>
          <w:rFonts w:hint="eastAsia" w:ascii="仿宋" w:hAnsi="仿宋" w:eastAsia="仿宋" w:cs="仿宋"/>
          <w:i w:val="0"/>
          <w:iCs w:val="0"/>
          <w:caps w:val="0"/>
          <w:color w:val="auto"/>
          <w:spacing w:val="0"/>
          <w:sz w:val="31"/>
          <w:szCs w:val="31"/>
          <w:shd w:val="clear" w:fill="FFFFFF"/>
          <w:lang w:val="en-US" w:eastAsia="zh-CN"/>
        </w:rPr>
        <w:t>崇阳县教育局（汇总）</w:t>
      </w:r>
      <w:r>
        <w:rPr>
          <w:rFonts w:hint="eastAsia" w:ascii="仿宋" w:hAnsi="仿宋" w:eastAsia="仿宋" w:cs="仿宋"/>
          <w:i w:val="0"/>
          <w:iCs w:val="0"/>
          <w:caps w:val="0"/>
          <w:color w:val="auto"/>
          <w:spacing w:val="0"/>
          <w:sz w:val="31"/>
          <w:szCs w:val="31"/>
          <w:shd w:val="clear" w:fill="FFFFFF"/>
        </w:rPr>
        <w:t>共有车辆</w:t>
      </w:r>
      <w:r>
        <w:rPr>
          <w:rFonts w:hint="eastAsia" w:ascii="仿宋" w:hAnsi="仿宋" w:eastAsia="仿宋" w:cs="仿宋"/>
          <w:i w:val="0"/>
          <w:iCs w:val="0"/>
          <w:caps w:val="0"/>
          <w:color w:val="auto"/>
          <w:spacing w:val="0"/>
          <w:sz w:val="31"/>
          <w:szCs w:val="31"/>
          <w:shd w:val="clear" w:fill="FFFFFF"/>
          <w:lang w:val="en-US" w:eastAsia="zh-CN"/>
        </w:rPr>
        <w:t>2</w:t>
      </w:r>
      <w:r>
        <w:rPr>
          <w:rFonts w:hint="eastAsia" w:ascii="仿宋" w:hAnsi="仿宋" w:eastAsia="仿宋" w:cs="仿宋"/>
          <w:i w:val="0"/>
          <w:iCs w:val="0"/>
          <w:caps w:val="0"/>
          <w:color w:val="auto"/>
          <w:spacing w:val="0"/>
          <w:sz w:val="31"/>
          <w:szCs w:val="31"/>
          <w:shd w:val="clear" w:fill="FFFFFF"/>
        </w:rPr>
        <w:t>辆，其中，副省级及以上领导干部用车0辆、主要领导干部用车0辆、机要通信用车0辆、应急保障用车0辆、执法执勤用车0辆、特种专业技术用车</w:t>
      </w:r>
      <w:r>
        <w:rPr>
          <w:rFonts w:hint="eastAsia" w:ascii="仿宋" w:hAnsi="仿宋" w:eastAsia="仿宋" w:cs="仿宋"/>
          <w:i w:val="0"/>
          <w:iCs w:val="0"/>
          <w:caps w:val="0"/>
          <w:color w:val="auto"/>
          <w:spacing w:val="0"/>
          <w:sz w:val="31"/>
          <w:szCs w:val="31"/>
          <w:shd w:val="clear" w:fill="FFFFFF"/>
          <w:lang w:val="en-US" w:eastAsia="zh-CN"/>
        </w:rPr>
        <w:t>0</w:t>
      </w:r>
      <w:r>
        <w:rPr>
          <w:rFonts w:hint="eastAsia" w:ascii="仿宋" w:hAnsi="仿宋" w:eastAsia="仿宋" w:cs="仿宋"/>
          <w:i w:val="0"/>
          <w:iCs w:val="0"/>
          <w:caps w:val="0"/>
          <w:color w:val="auto"/>
          <w:spacing w:val="0"/>
          <w:sz w:val="31"/>
          <w:szCs w:val="31"/>
          <w:shd w:val="clear" w:fill="FFFFFF"/>
        </w:rPr>
        <w:t>辆、</w:t>
      </w:r>
      <w:r>
        <w:rPr>
          <w:rFonts w:hint="eastAsia" w:ascii="仿宋" w:hAnsi="仿宋" w:eastAsia="仿宋" w:cs="仿宋"/>
          <w:i w:val="0"/>
          <w:iCs w:val="0"/>
          <w:caps w:val="0"/>
          <w:color w:val="auto"/>
          <w:spacing w:val="0"/>
          <w:sz w:val="31"/>
          <w:szCs w:val="31"/>
          <w:shd w:val="clear" w:fill="FFFFFF"/>
          <w:lang w:val="en-US" w:eastAsia="zh-CN"/>
        </w:rPr>
        <w:t>大中型载客汽车2辆、</w:t>
      </w:r>
      <w:r>
        <w:rPr>
          <w:rFonts w:hint="eastAsia" w:ascii="仿宋" w:hAnsi="仿宋" w:eastAsia="仿宋" w:cs="仿宋"/>
          <w:i w:val="0"/>
          <w:iCs w:val="0"/>
          <w:caps w:val="0"/>
          <w:color w:val="auto"/>
          <w:spacing w:val="0"/>
          <w:sz w:val="31"/>
          <w:szCs w:val="31"/>
          <w:shd w:val="clear" w:fill="FFFFFF"/>
        </w:rPr>
        <w:t>其他用车0辆；单位价值100万元以上专用设备0台（套）。</w:t>
      </w:r>
    </w:p>
    <w:p>
      <w:pPr>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十</w:t>
      </w:r>
      <w:r>
        <w:rPr>
          <w:rFonts w:hint="eastAsia" w:ascii="仿宋" w:hAnsi="仿宋" w:eastAsia="仿宋" w:cs="仿宋"/>
          <w:b/>
          <w:color w:val="auto"/>
          <w:sz w:val="32"/>
          <w:szCs w:val="32"/>
          <w:lang w:val="en-US" w:eastAsia="zh-CN"/>
        </w:rPr>
        <w:t>三</w:t>
      </w:r>
      <w:r>
        <w:rPr>
          <w:rFonts w:hint="eastAsia" w:ascii="仿宋" w:hAnsi="仿宋" w:eastAsia="仿宋" w:cs="仿宋"/>
          <w:b/>
          <w:color w:val="auto"/>
          <w:sz w:val="32"/>
          <w:szCs w:val="32"/>
        </w:rPr>
        <w:t>、预算绩效情况说明</w:t>
      </w:r>
    </w:p>
    <w:p>
      <w:pPr>
        <w:pageBreakBefore w:val="0"/>
        <w:kinsoku/>
        <w:wordWrap/>
        <w:overflowPunct/>
        <w:topLinePunct w:val="0"/>
        <w:autoSpaceDE/>
        <w:autoSpaceDN/>
        <w:bidi w:val="0"/>
        <w:adjustRightInd/>
        <w:snapToGrid/>
        <w:spacing w:line="360" w:lineRule="auto"/>
        <w:ind w:firstLine="640"/>
        <w:textAlignment w:val="auto"/>
        <w:rPr>
          <w:rFonts w:hint="eastAsia" w:ascii="仿宋" w:hAnsi="仿宋" w:eastAsia="仿宋" w:cs="仿宋"/>
          <w:b/>
          <w:bCs/>
          <w:color w:val="auto"/>
          <w:sz w:val="32"/>
          <w:szCs w:val="32"/>
        </w:rPr>
      </w:pPr>
      <w:r>
        <w:rPr>
          <w:rFonts w:hint="eastAsia" w:ascii="仿宋" w:hAnsi="仿宋" w:eastAsia="仿宋" w:cs="仿宋"/>
          <w:b/>
          <w:bCs/>
          <w:color w:val="auto"/>
          <w:sz w:val="32"/>
          <w:szCs w:val="32"/>
        </w:rPr>
        <w:t>（一）预算绩效管理工作开展情况</w:t>
      </w:r>
    </w:p>
    <w:p>
      <w:pPr>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Cs/>
          <w:color w:val="auto"/>
          <w:sz w:val="32"/>
          <w:szCs w:val="32"/>
        </w:rPr>
      </w:pPr>
      <w:r>
        <w:rPr>
          <w:rFonts w:hint="eastAsia" w:ascii="仿宋" w:hAnsi="仿宋" w:eastAsia="仿宋" w:cs="仿宋"/>
          <w:bCs/>
          <w:color w:val="auto"/>
          <w:sz w:val="32"/>
          <w:szCs w:val="32"/>
        </w:rPr>
        <w:t>根据预算绩效管理要求，我单位组织对</w:t>
      </w:r>
      <w:r>
        <w:rPr>
          <w:rFonts w:hint="default" w:ascii="仿宋" w:hAnsi="仿宋" w:eastAsia="仿宋" w:cs="仿宋"/>
          <w:bCs/>
          <w:color w:val="auto"/>
          <w:sz w:val="32"/>
          <w:szCs w:val="32"/>
          <w:lang w:val="en-US" w:eastAsia="zh-CN"/>
        </w:rPr>
        <w:t>2022</w:t>
      </w:r>
      <w:r>
        <w:rPr>
          <w:rFonts w:hint="eastAsia" w:ascii="仿宋" w:hAnsi="仿宋" w:eastAsia="仿宋" w:cs="仿宋"/>
          <w:bCs/>
          <w:color w:val="auto"/>
          <w:sz w:val="32"/>
          <w:szCs w:val="32"/>
        </w:rPr>
        <w:t>年度一般公共预算项目如学前教育、学生资助、学生营养餐、改薄、义务教育学校公用经费等支出全面开展绩效评价，完成了项目绩效评价工作方案的制定、评价指标体系的设计与修改、资料清单编制等多项工作；在评价过程中，通过访谈、座谈会、实地调研等多种方式搜集数据与资料；在对搜集到的数据与资料进行分析、审核。</w:t>
      </w:r>
    </w:p>
    <w:p>
      <w:pPr>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Cs/>
          <w:color w:val="auto"/>
          <w:sz w:val="30"/>
          <w:szCs w:val="30"/>
          <w:lang w:eastAsia="zh-CN"/>
        </w:rPr>
      </w:pPr>
      <w:r>
        <w:rPr>
          <w:rFonts w:hint="eastAsia" w:ascii="仿宋" w:hAnsi="仿宋" w:eastAsia="仿宋" w:cs="仿宋"/>
          <w:color w:val="auto"/>
          <w:sz w:val="32"/>
          <w:szCs w:val="32"/>
        </w:rPr>
        <w:t>组织开展部门整体支出绩效评价，从评价情况来看，根据《</w:t>
      </w:r>
      <w:r>
        <w:rPr>
          <w:rFonts w:hint="eastAsia" w:ascii="仿宋" w:hAnsi="仿宋" w:eastAsia="仿宋" w:cs="仿宋"/>
          <w:color w:val="auto"/>
          <w:sz w:val="32"/>
          <w:szCs w:val="32"/>
          <w:highlight w:val="none"/>
        </w:rPr>
        <w:t>崇阳县财政局关于开展</w:t>
      </w:r>
      <w:r>
        <w:rPr>
          <w:rFonts w:hint="default" w:ascii="仿宋" w:hAnsi="仿宋" w:eastAsia="仿宋" w:cs="仿宋"/>
          <w:color w:val="auto"/>
          <w:sz w:val="32"/>
          <w:szCs w:val="32"/>
          <w:highlight w:val="none"/>
          <w:lang w:val="en-US" w:eastAsia="zh-CN"/>
        </w:rPr>
        <w:t>202</w:t>
      </w:r>
      <w:r>
        <w:rPr>
          <w:rFonts w:hint="eastAsia" w:ascii="仿宋" w:hAnsi="仿宋" w:eastAsia="仿宋" w:cs="仿宋"/>
          <w:color w:val="auto"/>
          <w:sz w:val="32"/>
          <w:szCs w:val="32"/>
          <w:highlight w:val="none"/>
          <w:lang w:val="en-US" w:eastAsia="zh-CN"/>
        </w:rPr>
        <w:t>2</w:t>
      </w:r>
      <w:r>
        <w:rPr>
          <w:rFonts w:hint="eastAsia" w:ascii="仿宋" w:hAnsi="仿宋" w:eastAsia="仿宋" w:cs="仿宋"/>
          <w:color w:val="auto"/>
          <w:sz w:val="32"/>
          <w:szCs w:val="32"/>
          <w:highlight w:val="none"/>
        </w:rPr>
        <w:t>年度财政支出项目及部门整体支出绩效评价工作的通知》（崇财发〔202</w:t>
      </w:r>
      <w:r>
        <w:rPr>
          <w:rFonts w:hint="eastAsia" w:ascii="仿宋" w:hAnsi="仿宋" w:eastAsia="仿宋" w:cs="仿宋"/>
          <w:color w:val="auto"/>
          <w:sz w:val="32"/>
          <w:szCs w:val="32"/>
          <w:highlight w:val="none"/>
          <w:lang w:val="en-US" w:eastAsia="zh-CN"/>
        </w:rPr>
        <w:t>3</w:t>
      </w: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val="en-US" w:eastAsia="zh-CN"/>
        </w:rPr>
        <w:t>13</w:t>
      </w:r>
      <w:r>
        <w:rPr>
          <w:rFonts w:hint="eastAsia" w:ascii="仿宋" w:hAnsi="仿宋" w:eastAsia="仿宋" w:cs="仿宋"/>
          <w:color w:val="auto"/>
          <w:sz w:val="32"/>
          <w:szCs w:val="32"/>
          <w:highlight w:val="none"/>
        </w:rPr>
        <w:t>号）</w:t>
      </w:r>
      <w:r>
        <w:rPr>
          <w:rFonts w:hint="eastAsia" w:ascii="仿宋" w:hAnsi="仿宋" w:eastAsia="仿宋" w:cs="仿宋"/>
          <w:color w:val="auto"/>
          <w:sz w:val="32"/>
          <w:szCs w:val="32"/>
        </w:rPr>
        <w:t>要求，我局高度重视部门整体支出绩效自评工作，成立了绩效自评工作领导小组，明确任务分工，压实工作责任，加强督促指导，确保部门整体支出绩效自评严格按照年初预算批复的支出绩效指标、部门职责以及特点设计自评指标，确定了自评指标体系。认真准备相关资料，深入客观进行分析评价，在各子项目分工自评的基础上统一分类汇总，高质量地完成项目绩效自评工作。</w:t>
      </w:r>
      <w:r>
        <w:rPr>
          <w:rFonts w:hint="eastAsia" w:ascii="仿宋" w:hAnsi="仿宋" w:eastAsia="仿宋" w:cs="仿宋"/>
          <w:bCs/>
          <w:color w:val="auto"/>
          <w:sz w:val="32"/>
          <w:szCs w:val="32"/>
        </w:rPr>
        <w:t xml:space="preserve"> </w:t>
      </w:r>
    </w:p>
    <w:p>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color w:val="auto"/>
          <w:sz w:val="32"/>
          <w:szCs w:val="32"/>
        </w:rPr>
      </w:pPr>
      <w:r>
        <w:rPr>
          <w:rFonts w:hint="eastAsia" w:ascii="仿宋" w:hAnsi="仿宋" w:eastAsia="仿宋" w:cs="仿宋"/>
          <w:b/>
          <w:bCs/>
          <w:color w:val="auto"/>
          <w:sz w:val="32"/>
          <w:szCs w:val="32"/>
        </w:rPr>
        <w:t>（二）部门决算中项目绩效自评结果</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Cs/>
          <w:color w:val="auto"/>
          <w:sz w:val="32"/>
          <w:szCs w:val="32"/>
        </w:rPr>
      </w:pPr>
      <w:r>
        <w:rPr>
          <w:rFonts w:hint="eastAsia" w:ascii="仿宋" w:hAnsi="仿宋" w:eastAsia="仿宋" w:cs="仿宋"/>
          <w:b w:val="0"/>
          <w:bCs w:val="0"/>
          <w:color w:val="auto"/>
          <w:sz w:val="32"/>
          <w:szCs w:val="32"/>
        </w:rPr>
        <w:t>根据改薄工程项目绩效评价要求，请第三方评</w:t>
      </w:r>
      <w:r>
        <w:rPr>
          <w:rFonts w:hint="eastAsia" w:ascii="仿宋" w:hAnsi="仿宋" w:eastAsia="仿宋" w:cs="仿宋"/>
          <w:bCs/>
          <w:color w:val="auto"/>
          <w:sz w:val="32"/>
          <w:szCs w:val="32"/>
        </w:rPr>
        <w:t>价机构从项目前期管理、组织管理水平、施工质量管理、完工验收管理、财务核算管理、绩效分析等六个方面对项目执行情况及绩效情况进行综合分析，形成评价结果。从评价情况来看，各项目经费管理规范，工作大部分已按计划完成，社会效益较好，项目可持续性强，服务对象总体满意度高。各项目所有资金实行专款专用。项目支出均有相关的授权审批，资金拨付审批程序严格，使用规范，会计核算结果真实、准确。</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Cs/>
          <w:color w:val="auto"/>
          <w:sz w:val="32"/>
          <w:szCs w:val="32"/>
        </w:rPr>
      </w:pPr>
      <w:r>
        <w:rPr>
          <w:rFonts w:hint="eastAsia" w:ascii="仿宋" w:hAnsi="仿宋" w:eastAsia="仿宋" w:cs="仿宋"/>
          <w:bCs/>
          <w:color w:val="auto"/>
          <w:sz w:val="32"/>
          <w:szCs w:val="32"/>
        </w:rPr>
        <w:t>组织开展整体支出绩效评价，从评价情况来看，部门整体支出预算管理情况良好，预算执行总额控制在年初预算批复和追加额度内且有结余；年度绩效目标完成情况良好。</w:t>
      </w:r>
    </w:p>
    <w:p>
      <w:pPr>
        <w:pStyle w:val="6"/>
        <w:keepNext w:val="0"/>
        <w:keepLines w:val="0"/>
        <w:pageBreakBefore w:val="0"/>
        <w:widowControl/>
        <w:shd w:val="clear" w:color="auto" w:fill="FFFFFF"/>
        <w:kinsoku/>
        <w:wordWrap/>
        <w:overflowPunct/>
        <w:topLinePunct w:val="0"/>
        <w:autoSpaceDE/>
        <w:autoSpaceDN/>
        <w:bidi w:val="0"/>
        <w:adjustRightInd/>
        <w:snapToGrid/>
        <w:spacing w:before="165" w:beforeAutospacing="0" w:after="75" w:afterAutospacing="0" w:line="360" w:lineRule="auto"/>
        <w:ind w:firstLine="420"/>
        <w:textAlignment w:val="auto"/>
        <w:rPr>
          <w:rFonts w:hint="eastAsia" w:ascii="仿宋" w:hAnsi="仿宋" w:eastAsia="仿宋" w:cs="仿宋"/>
          <w:b/>
          <w:bCs/>
          <w:color w:val="auto"/>
          <w:kern w:val="2"/>
          <w:sz w:val="32"/>
          <w:szCs w:val="32"/>
        </w:rPr>
      </w:pPr>
      <w:r>
        <w:rPr>
          <w:rFonts w:hint="eastAsia" w:ascii="仿宋" w:hAnsi="仿宋" w:eastAsia="仿宋" w:cs="仿宋"/>
          <w:b/>
          <w:bCs/>
          <w:color w:val="auto"/>
          <w:kern w:val="2"/>
          <w:sz w:val="32"/>
          <w:szCs w:val="32"/>
        </w:rPr>
        <w:t>（三）绩效评价结果应用情况</w:t>
      </w:r>
    </w:p>
    <w:p>
      <w:pPr>
        <w:pageBreakBefore w:val="0"/>
        <w:kinsoku/>
        <w:wordWrap/>
        <w:overflowPunct/>
        <w:topLinePunct w:val="0"/>
        <w:autoSpaceDE/>
        <w:autoSpaceDN/>
        <w:bidi w:val="0"/>
        <w:adjustRightInd/>
        <w:snapToGrid/>
        <w:jc w:val="left"/>
        <w:textAlignment w:val="auto"/>
        <w:outlineLvl w:val="9"/>
        <w:rPr>
          <w:rFonts w:hint="eastAsia" w:ascii="仿宋" w:hAnsi="仿宋" w:eastAsia="仿宋" w:cs="仿宋"/>
          <w:bCs/>
          <w:color w:val="auto"/>
          <w:kern w:val="2"/>
          <w:sz w:val="32"/>
          <w:szCs w:val="32"/>
        </w:rPr>
      </w:pPr>
      <w:r>
        <w:rPr>
          <w:rFonts w:hint="eastAsia" w:ascii="仿宋" w:hAnsi="仿宋" w:eastAsia="仿宋" w:cs="仿宋"/>
          <w:bCs/>
          <w:color w:val="auto"/>
          <w:kern w:val="2"/>
          <w:sz w:val="32"/>
          <w:szCs w:val="32"/>
        </w:rPr>
        <w:t>在以后的工作中增强单位的绩效评价主体责任意识，合理规划预算资金分配，切实加强项目整改落实，推动绩效评价结果与预算安排相结合。根据绩效指标体系与本次绩效评价情况调整下年度的指标体系;进一步规范档案管理工作，加强项目资料归档管理，指派专人负责项目资料的分类归档。加强项目绩效评价的工作总结与探讨，吸收各科室的意见和建议，从而在今后的评价中不断改进和完善指标体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65" w:beforeAutospacing="0" w:after="75" w:afterAutospacing="0" w:line="525" w:lineRule="atLeast"/>
        <w:ind w:left="0" w:right="0" w:firstLine="420"/>
        <w:jc w:val="both"/>
        <w:rPr>
          <w:rFonts w:hint="eastAsia" w:ascii="仿宋" w:hAnsi="仿宋" w:eastAsia="仿宋" w:cs="仿宋"/>
          <w:b/>
          <w:bCs/>
          <w:i w:val="0"/>
          <w:iCs w:val="0"/>
          <w:caps w:val="0"/>
          <w:color w:val="auto"/>
          <w:spacing w:val="0"/>
          <w:sz w:val="31"/>
          <w:szCs w:val="31"/>
        </w:rPr>
      </w:pPr>
      <w:r>
        <w:rPr>
          <w:rFonts w:hint="eastAsia" w:ascii="仿宋" w:hAnsi="仿宋" w:eastAsia="仿宋" w:cs="仿宋"/>
          <w:b/>
          <w:bCs/>
          <w:i w:val="0"/>
          <w:iCs w:val="0"/>
          <w:caps w:val="0"/>
          <w:color w:val="auto"/>
          <w:spacing w:val="0"/>
          <w:sz w:val="31"/>
          <w:szCs w:val="31"/>
          <w:shd w:val="clear" w:fill="FFFFFF"/>
        </w:rPr>
        <w:t>十四、财政专项支出、专项转移支付支出情况说明</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65" w:beforeAutospacing="0" w:after="75" w:afterAutospacing="0" w:line="525" w:lineRule="atLeast"/>
        <w:ind w:left="0" w:right="0" w:firstLine="420"/>
        <w:jc w:val="both"/>
        <w:rPr>
          <w:rFonts w:hint="eastAsia" w:ascii="仿宋" w:hAnsi="仿宋" w:eastAsia="仿宋" w:cs="仿宋"/>
          <w:i w:val="0"/>
          <w:iCs w:val="0"/>
          <w:caps w:val="0"/>
          <w:color w:val="auto"/>
          <w:spacing w:val="0"/>
          <w:sz w:val="31"/>
          <w:szCs w:val="31"/>
          <w:shd w:val="clear" w:fill="FFFFFF"/>
          <w:lang w:val="en-US" w:eastAsia="zh-CN"/>
        </w:rPr>
      </w:pPr>
      <w:r>
        <w:rPr>
          <w:rFonts w:hint="eastAsia" w:ascii="仿宋" w:hAnsi="仿宋" w:eastAsia="仿宋" w:cs="仿宋"/>
          <w:i w:val="0"/>
          <w:iCs w:val="0"/>
          <w:caps w:val="0"/>
          <w:color w:val="auto"/>
          <w:spacing w:val="0"/>
          <w:sz w:val="31"/>
          <w:szCs w:val="31"/>
          <w:shd w:val="clear" w:fill="FFFFFF"/>
        </w:rPr>
        <w:t>崇阳县</w:t>
      </w:r>
      <w:r>
        <w:rPr>
          <w:rFonts w:hint="eastAsia" w:ascii="仿宋" w:hAnsi="仿宋" w:eastAsia="仿宋" w:cs="仿宋"/>
          <w:i w:val="0"/>
          <w:iCs w:val="0"/>
          <w:caps w:val="0"/>
          <w:color w:val="auto"/>
          <w:spacing w:val="0"/>
          <w:sz w:val="31"/>
          <w:szCs w:val="31"/>
          <w:shd w:val="clear" w:fill="FFFFFF"/>
          <w:lang w:val="en-US" w:eastAsia="zh-CN"/>
        </w:rPr>
        <w:t>教育局（汇总）</w:t>
      </w:r>
      <w:r>
        <w:rPr>
          <w:rFonts w:hint="eastAsia" w:ascii="仿宋" w:hAnsi="仿宋" w:eastAsia="仿宋" w:cs="仿宋"/>
          <w:i w:val="0"/>
          <w:iCs w:val="0"/>
          <w:caps w:val="0"/>
          <w:color w:val="auto"/>
          <w:spacing w:val="0"/>
          <w:sz w:val="31"/>
          <w:szCs w:val="31"/>
          <w:shd w:val="clear" w:fill="FFFFFF"/>
        </w:rPr>
        <w:t>2022年度</w:t>
      </w:r>
      <w:r>
        <w:rPr>
          <w:rFonts w:hint="eastAsia" w:ascii="仿宋" w:hAnsi="仿宋" w:eastAsia="仿宋" w:cs="仿宋"/>
          <w:i w:val="0"/>
          <w:iCs w:val="0"/>
          <w:caps w:val="0"/>
          <w:color w:val="auto"/>
          <w:spacing w:val="0"/>
          <w:sz w:val="31"/>
          <w:szCs w:val="31"/>
          <w:shd w:val="clear" w:fill="FFFFFF"/>
          <w:lang w:val="en-US" w:eastAsia="zh-CN"/>
        </w:rPr>
        <w:t>专项</w:t>
      </w:r>
      <w:r>
        <w:rPr>
          <w:rFonts w:hint="eastAsia" w:ascii="仿宋" w:hAnsi="仿宋" w:eastAsia="仿宋" w:cs="仿宋"/>
          <w:i w:val="0"/>
          <w:iCs w:val="0"/>
          <w:caps w:val="0"/>
          <w:color w:val="auto"/>
          <w:spacing w:val="0"/>
          <w:sz w:val="31"/>
          <w:szCs w:val="31"/>
          <w:shd w:val="clear" w:fill="FFFFFF"/>
        </w:rPr>
        <w:t>支付支出13857.47万元，无</w:t>
      </w:r>
      <w:r>
        <w:rPr>
          <w:rFonts w:hint="eastAsia" w:ascii="仿宋" w:hAnsi="仿宋" w:eastAsia="仿宋" w:cs="仿宋"/>
          <w:i w:val="0"/>
          <w:iCs w:val="0"/>
          <w:caps w:val="0"/>
          <w:color w:val="auto"/>
          <w:spacing w:val="0"/>
          <w:sz w:val="31"/>
          <w:szCs w:val="31"/>
          <w:shd w:val="clear" w:fill="FFFFFF"/>
          <w:lang w:val="en-US" w:eastAsia="zh-CN"/>
        </w:rPr>
        <w:t>转移支付</w:t>
      </w:r>
      <w:r>
        <w:rPr>
          <w:rFonts w:hint="eastAsia" w:ascii="仿宋" w:hAnsi="仿宋" w:eastAsia="仿宋" w:cs="仿宋"/>
          <w:i w:val="0"/>
          <w:iCs w:val="0"/>
          <w:caps w:val="0"/>
          <w:color w:val="auto"/>
          <w:spacing w:val="0"/>
          <w:sz w:val="31"/>
          <w:szCs w:val="31"/>
          <w:shd w:val="clear" w:fill="FFFFFF"/>
        </w:rPr>
        <w:t>支出，</w:t>
      </w:r>
      <w:r>
        <w:rPr>
          <w:rFonts w:hint="eastAsia" w:ascii="仿宋" w:hAnsi="仿宋" w:eastAsia="仿宋" w:cs="仿宋"/>
          <w:i w:val="0"/>
          <w:iCs w:val="0"/>
          <w:caps w:val="0"/>
          <w:color w:val="auto"/>
          <w:spacing w:val="0"/>
          <w:sz w:val="31"/>
          <w:szCs w:val="31"/>
          <w:shd w:val="clear" w:fill="FFFFFF"/>
          <w:lang w:val="en-US" w:eastAsia="zh-CN"/>
        </w:rPr>
        <w:t>主要用于学校校舍维修改造工程项目和新建崇阳县第二高级中学和浪口中学。</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65" w:beforeAutospacing="0" w:after="75" w:afterAutospacing="0" w:line="525" w:lineRule="atLeast"/>
        <w:ind w:left="0" w:right="0" w:firstLine="420"/>
        <w:jc w:val="both"/>
        <w:rPr>
          <w:rFonts w:hint="eastAsia" w:ascii="仿宋" w:hAnsi="仿宋" w:eastAsia="仿宋" w:cs="仿宋"/>
          <w:i w:val="0"/>
          <w:iCs w:val="0"/>
          <w:caps w:val="0"/>
          <w:color w:val="auto"/>
          <w:spacing w:val="0"/>
          <w:sz w:val="31"/>
          <w:szCs w:val="31"/>
          <w:shd w:val="clear" w:fill="FFFFFF"/>
          <w:lang w:val="en-US" w:eastAsia="zh-CN"/>
        </w:rPr>
      </w:pPr>
    </w:p>
    <w:p>
      <w:pPr>
        <w:pStyle w:val="12"/>
        <w:numPr>
          <w:ilvl w:val="0"/>
          <w:numId w:val="6"/>
        </w:numPr>
        <w:jc w:val="center"/>
        <w:rPr>
          <w:rFonts w:hint="eastAsia" w:ascii="黑体" w:hAnsi="黑体" w:eastAsia="黑体" w:cs="黑体"/>
          <w:b/>
          <w:bCs/>
          <w:color w:val="auto"/>
          <w:sz w:val="44"/>
          <w:szCs w:val="44"/>
        </w:rPr>
      </w:pPr>
      <w:r>
        <w:rPr>
          <w:rFonts w:hint="eastAsia" w:ascii="黑体" w:hAnsi="黑体" w:eastAsia="黑体" w:cs="黑体"/>
          <w:b/>
          <w:bCs/>
          <w:color w:val="auto"/>
          <w:sz w:val="44"/>
          <w:szCs w:val="44"/>
        </w:rPr>
        <w:t>其他需要说明的情况</w:t>
      </w:r>
    </w:p>
    <w:p>
      <w:pPr>
        <w:pStyle w:val="12"/>
        <w:numPr>
          <w:ilvl w:val="0"/>
          <w:numId w:val="0"/>
        </w:numPr>
        <w:ind w:firstLine="640" w:firstLineChars="200"/>
        <w:rPr>
          <w:rFonts w:hint="eastAsia" w:ascii="仿宋" w:hAnsi="仿宋" w:eastAsia="仿宋" w:cs="仿宋"/>
          <w:b w:val="0"/>
          <w:bCs/>
          <w:color w:val="auto"/>
          <w:sz w:val="30"/>
          <w:szCs w:val="30"/>
        </w:rPr>
      </w:pPr>
      <w:r>
        <w:rPr>
          <w:rFonts w:hint="eastAsia" w:ascii="仿宋" w:hAnsi="仿宋" w:eastAsia="仿宋" w:cs="仿宋"/>
          <w:bCs/>
          <w:color w:val="auto"/>
          <w:sz w:val="32"/>
          <w:szCs w:val="32"/>
          <w:lang w:eastAsia="zh-CN"/>
        </w:rPr>
        <w:t>崇阳县教育局(汇总)</w:t>
      </w:r>
      <w:r>
        <w:rPr>
          <w:rFonts w:hint="eastAsia" w:ascii="仿宋" w:hAnsi="仿宋" w:eastAsia="仿宋" w:cs="仿宋"/>
          <w:b w:val="0"/>
          <w:bCs/>
          <w:color w:val="auto"/>
          <w:sz w:val="30"/>
          <w:szCs w:val="30"/>
        </w:rPr>
        <w:t>2022 年度无举借政府债务情况。</w:t>
      </w:r>
    </w:p>
    <w:p>
      <w:pPr>
        <w:pStyle w:val="12"/>
        <w:numPr>
          <w:ilvl w:val="0"/>
          <w:numId w:val="0"/>
        </w:numPr>
        <w:ind w:firstLine="600" w:firstLineChars="200"/>
        <w:rPr>
          <w:rFonts w:hint="eastAsia" w:ascii="仿宋" w:hAnsi="仿宋" w:eastAsia="仿宋" w:cs="仿宋"/>
          <w:b w:val="0"/>
          <w:bCs/>
          <w:color w:val="auto"/>
          <w:sz w:val="30"/>
          <w:szCs w:val="30"/>
        </w:rPr>
      </w:pPr>
    </w:p>
    <w:p>
      <w:pPr>
        <w:pStyle w:val="12"/>
        <w:jc w:val="center"/>
        <w:rPr>
          <w:rFonts w:hint="eastAsia" w:ascii="黑体" w:hAnsi="黑体" w:eastAsia="黑体" w:cs="黑体"/>
          <w:b/>
          <w:bCs/>
          <w:color w:val="auto"/>
          <w:sz w:val="44"/>
          <w:szCs w:val="44"/>
        </w:rPr>
      </w:pPr>
      <w:r>
        <w:rPr>
          <w:rFonts w:hint="eastAsia" w:ascii="黑体" w:hAnsi="黑体" w:eastAsia="黑体" w:cs="黑体"/>
          <w:b/>
          <w:bCs/>
          <w:color w:val="auto"/>
          <w:sz w:val="44"/>
          <w:szCs w:val="44"/>
        </w:rPr>
        <w:t>第五部分  名词解释</w:t>
      </w:r>
    </w:p>
    <w:p>
      <w:pPr>
        <w:spacing w:line="360" w:lineRule="auto"/>
        <w:ind w:firstLine="640" w:firstLineChars="200"/>
        <w:rPr>
          <w:rFonts w:hint="eastAsia" w:ascii="仿宋" w:hAnsi="仿宋" w:eastAsia="仿宋" w:cs="仿宋"/>
          <w:bCs/>
          <w:color w:val="auto"/>
          <w:kern w:val="44"/>
          <w:sz w:val="32"/>
          <w:szCs w:val="32"/>
        </w:rPr>
      </w:pPr>
      <w:r>
        <w:rPr>
          <w:rFonts w:hint="eastAsia" w:ascii="仿宋" w:hAnsi="仿宋" w:eastAsia="仿宋" w:cs="仿宋"/>
          <w:bCs/>
          <w:color w:val="auto"/>
          <w:kern w:val="44"/>
          <w:sz w:val="32"/>
          <w:szCs w:val="32"/>
        </w:rPr>
        <w:t>(一)</w:t>
      </w:r>
      <w:r>
        <w:rPr>
          <w:rFonts w:hint="eastAsia" w:ascii="仿宋" w:hAnsi="仿宋" w:eastAsia="仿宋" w:cs="仿宋"/>
          <w:color w:val="auto"/>
          <w:spacing w:val="6"/>
          <w:sz w:val="32"/>
          <w:szCs w:val="32"/>
        </w:rPr>
        <w:t>一般公共预算</w:t>
      </w:r>
      <w:r>
        <w:rPr>
          <w:rFonts w:hint="eastAsia" w:ascii="仿宋" w:hAnsi="仿宋" w:eastAsia="仿宋" w:cs="仿宋"/>
          <w:bCs/>
          <w:color w:val="auto"/>
          <w:kern w:val="44"/>
          <w:sz w:val="32"/>
          <w:szCs w:val="32"/>
        </w:rPr>
        <w:t>财政拨款收入：指市级财政</w:t>
      </w:r>
      <w:r>
        <w:rPr>
          <w:rFonts w:hint="eastAsia" w:ascii="仿宋" w:hAnsi="仿宋" w:eastAsia="仿宋" w:cs="仿宋"/>
          <w:color w:val="auto"/>
          <w:spacing w:val="6"/>
          <w:sz w:val="32"/>
          <w:szCs w:val="32"/>
        </w:rPr>
        <w:t>一般公共预算</w:t>
      </w:r>
      <w:r>
        <w:rPr>
          <w:rFonts w:hint="eastAsia" w:ascii="仿宋" w:hAnsi="仿宋" w:eastAsia="仿宋" w:cs="仿宋"/>
          <w:bCs/>
          <w:color w:val="auto"/>
          <w:kern w:val="44"/>
          <w:sz w:val="32"/>
          <w:szCs w:val="32"/>
        </w:rPr>
        <w:t>当年拨付的资金。</w:t>
      </w:r>
    </w:p>
    <w:p>
      <w:pPr>
        <w:spacing w:line="360" w:lineRule="auto"/>
        <w:ind w:firstLine="640" w:firstLineChars="200"/>
        <w:rPr>
          <w:rFonts w:hint="eastAsia" w:ascii="仿宋" w:hAnsi="仿宋" w:eastAsia="仿宋" w:cs="仿宋"/>
          <w:bCs/>
          <w:color w:val="auto"/>
          <w:kern w:val="44"/>
          <w:sz w:val="32"/>
          <w:szCs w:val="32"/>
          <w:highlight w:val="yellow"/>
        </w:rPr>
      </w:pPr>
      <w:r>
        <w:rPr>
          <w:rFonts w:hint="eastAsia" w:ascii="仿宋" w:hAnsi="仿宋" w:eastAsia="仿宋" w:cs="仿宋"/>
          <w:bCs/>
          <w:color w:val="auto"/>
          <w:kern w:val="44"/>
          <w:sz w:val="32"/>
          <w:szCs w:val="32"/>
        </w:rPr>
        <w:t>(二)</w:t>
      </w:r>
      <w:r>
        <w:rPr>
          <w:rFonts w:hint="eastAsia" w:ascii="仿宋" w:hAnsi="仿宋" w:eastAsia="仿宋" w:cs="仿宋"/>
          <w:color w:val="auto"/>
          <w:sz w:val="32"/>
          <w:szCs w:val="32"/>
        </w:rPr>
        <w:t>政府性基金</w:t>
      </w:r>
      <w:r>
        <w:rPr>
          <w:rFonts w:hint="eastAsia" w:ascii="仿宋" w:hAnsi="仿宋" w:eastAsia="仿宋" w:cs="仿宋"/>
          <w:color w:val="auto"/>
          <w:spacing w:val="6"/>
          <w:sz w:val="32"/>
          <w:szCs w:val="32"/>
        </w:rPr>
        <w:t>预算</w:t>
      </w:r>
      <w:r>
        <w:rPr>
          <w:rFonts w:hint="eastAsia" w:ascii="仿宋" w:hAnsi="仿宋" w:eastAsia="仿宋" w:cs="仿宋"/>
          <w:bCs/>
          <w:color w:val="auto"/>
          <w:kern w:val="44"/>
          <w:sz w:val="32"/>
          <w:szCs w:val="32"/>
        </w:rPr>
        <w:t>财政拨款收入：指市级财政</w:t>
      </w:r>
      <w:r>
        <w:rPr>
          <w:rFonts w:hint="eastAsia" w:ascii="仿宋" w:hAnsi="仿宋" w:eastAsia="仿宋" w:cs="仿宋"/>
          <w:color w:val="auto"/>
          <w:sz w:val="32"/>
          <w:szCs w:val="32"/>
        </w:rPr>
        <w:t>政府性基金</w:t>
      </w:r>
      <w:r>
        <w:rPr>
          <w:rFonts w:hint="eastAsia" w:ascii="仿宋" w:hAnsi="仿宋" w:eastAsia="仿宋" w:cs="仿宋"/>
          <w:color w:val="auto"/>
          <w:spacing w:val="6"/>
          <w:sz w:val="32"/>
          <w:szCs w:val="32"/>
        </w:rPr>
        <w:t>预算</w:t>
      </w:r>
      <w:r>
        <w:rPr>
          <w:rFonts w:hint="eastAsia" w:ascii="仿宋" w:hAnsi="仿宋" w:eastAsia="仿宋" w:cs="仿宋"/>
          <w:bCs/>
          <w:color w:val="auto"/>
          <w:kern w:val="44"/>
          <w:sz w:val="32"/>
          <w:szCs w:val="32"/>
        </w:rPr>
        <w:t>当年拨付的资金。</w:t>
      </w:r>
    </w:p>
    <w:p>
      <w:pPr>
        <w:adjustRightInd w:val="0"/>
        <w:snapToGrid w:val="0"/>
        <w:spacing w:line="360" w:lineRule="auto"/>
        <w:ind w:firstLine="640" w:firstLineChars="200"/>
        <w:rPr>
          <w:rFonts w:hint="eastAsia" w:ascii="仿宋" w:hAnsi="仿宋" w:eastAsia="仿宋" w:cs="仿宋"/>
          <w:bCs/>
          <w:color w:val="auto"/>
          <w:kern w:val="44"/>
          <w:sz w:val="32"/>
          <w:szCs w:val="32"/>
        </w:rPr>
      </w:pPr>
      <w:r>
        <w:rPr>
          <w:rFonts w:hint="eastAsia" w:ascii="仿宋" w:hAnsi="仿宋" w:eastAsia="仿宋" w:cs="仿宋"/>
          <w:bCs/>
          <w:color w:val="auto"/>
          <w:kern w:val="44"/>
          <w:sz w:val="32"/>
          <w:szCs w:val="32"/>
        </w:rPr>
        <w:t>(三)国有资本经营预算财政拨款收入：指市级财政国有资本经营预算当年拨付的资金。</w:t>
      </w:r>
    </w:p>
    <w:p>
      <w:pPr>
        <w:adjustRightInd w:val="0"/>
        <w:snapToGrid w:val="0"/>
        <w:spacing w:line="360" w:lineRule="auto"/>
        <w:ind w:firstLine="640" w:firstLineChars="200"/>
        <w:rPr>
          <w:rFonts w:hint="eastAsia" w:ascii="仿宋" w:hAnsi="仿宋" w:eastAsia="仿宋" w:cs="仿宋"/>
          <w:bCs/>
          <w:color w:val="auto"/>
          <w:kern w:val="44"/>
          <w:sz w:val="32"/>
          <w:szCs w:val="32"/>
          <w:highlight w:val="yellow"/>
        </w:rPr>
      </w:pPr>
      <w:r>
        <w:rPr>
          <w:rFonts w:hint="eastAsia" w:ascii="仿宋" w:hAnsi="仿宋" w:eastAsia="仿宋" w:cs="仿宋"/>
          <w:bCs/>
          <w:color w:val="auto"/>
          <w:kern w:val="44"/>
          <w:sz w:val="32"/>
          <w:szCs w:val="32"/>
        </w:rPr>
        <w:t>(四)上级补助收入：指从</w:t>
      </w:r>
      <w:r>
        <w:rPr>
          <w:rFonts w:hint="eastAsia" w:ascii="仿宋" w:hAnsi="仿宋" w:eastAsia="仿宋" w:cs="仿宋"/>
          <w:color w:val="auto"/>
          <w:sz w:val="32"/>
          <w:szCs w:val="32"/>
        </w:rPr>
        <w:t>事业单位</w:t>
      </w:r>
      <w:r>
        <w:rPr>
          <w:rFonts w:hint="eastAsia" w:ascii="仿宋" w:hAnsi="仿宋" w:eastAsia="仿宋" w:cs="仿宋"/>
          <w:bCs/>
          <w:color w:val="auto"/>
          <w:kern w:val="44"/>
          <w:sz w:val="32"/>
          <w:szCs w:val="32"/>
        </w:rPr>
        <w:t>主管部门和上级单位取得的非财政补助收入。</w:t>
      </w:r>
    </w:p>
    <w:p>
      <w:pPr>
        <w:snapToGrid w:val="0"/>
        <w:spacing w:line="360" w:lineRule="auto"/>
        <w:ind w:firstLine="640" w:firstLineChars="200"/>
        <w:rPr>
          <w:rFonts w:hint="eastAsia" w:ascii="仿宋" w:hAnsi="仿宋" w:eastAsia="仿宋" w:cs="仿宋"/>
          <w:bCs/>
          <w:color w:val="auto"/>
          <w:kern w:val="44"/>
          <w:sz w:val="32"/>
          <w:szCs w:val="32"/>
          <w:highlight w:val="yellow"/>
        </w:rPr>
      </w:pPr>
      <w:r>
        <w:rPr>
          <w:rFonts w:hint="eastAsia" w:ascii="仿宋" w:hAnsi="仿宋" w:eastAsia="仿宋" w:cs="仿宋"/>
          <w:bCs/>
          <w:color w:val="auto"/>
          <w:kern w:val="44"/>
          <w:sz w:val="32"/>
          <w:szCs w:val="32"/>
        </w:rPr>
        <w:t>(五)事业收入：指事业单位开展专业业务活动及其辅助活动取得的收入。</w:t>
      </w:r>
    </w:p>
    <w:p>
      <w:pPr>
        <w:adjustRightInd w:val="0"/>
        <w:snapToGrid w:val="0"/>
        <w:spacing w:line="360" w:lineRule="auto"/>
        <w:ind w:firstLine="640" w:firstLineChars="200"/>
        <w:rPr>
          <w:rFonts w:hint="eastAsia" w:ascii="仿宋" w:hAnsi="仿宋" w:eastAsia="仿宋" w:cs="仿宋"/>
          <w:bCs/>
          <w:color w:val="auto"/>
          <w:kern w:val="44"/>
          <w:sz w:val="32"/>
          <w:szCs w:val="32"/>
          <w:highlight w:val="yellow"/>
        </w:rPr>
      </w:pPr>
      <w:r>
        <w:rPr>
          <w:rFonts w:hint="eastAsia" w:ascii="仿宋" w:hAnsi="仿宋" w:eastAsia="仿宋" w:cs="仿宋"/>
          <w:bCs/>
          <w:color w:val="auto"/>
          <w:kern w:val="44"/>
          <w:sz w:val="32"/>
          <w:szCs w:val="32"/>
        </w:rPr>
        <w:t>(六)经营收入：指事业单位在专业业务活动及其辅助活动之外开展非独立核算经营活动取得的收入。</w:t>
      </w:r>
    </w:p>
    <w:p>
      <w:pPr>
        <w:adjustRightInd w:val="0"/>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bCs/>
          <w:color w:val="auto"/>
          <w:kern w:val="44"/>
          <w:sz w:val="32"/>
          <w:szCs w:val="32"/>
        </w:rPr>
        <w:t>(七)其他收入：指</w:t>
      </w:r>
      <w:r>
        <w:rPr>
          <w:rFonts w:hint="eastAsia" w:ascii="仿宋" w:hAnsi="仿宋" w:eastAsia="仿宋" w:cs="仿宋"/>
          <w:color w:val="auto"/>
          <w:sz w:val="32"/>
          <w:szCs w:val="32"/>
        </w:rPr>
        <w:t>单位取得的除上述“一般公共预算财政拨款收入”、“政府性基金</w:t>
      </w:r>
      <w:r>
        <w:rPr>
          <w:rFonts w:hint="eastAsia" w:ascii="仿宋" w:hAnsi="仿宋" w:eastAsia="仿宋" w:cs="仿宋"/>
          <w:color w:val="auto"/>
          <w:spacing w:val="6"/>
          <w:sz w:val="32"/>
          <w:szCs w:val="32"/>
        </w:rPr>
        <w:t>预算</w:t>
      </w:r>
      <w:r>
        <w:rPr>
          <w:rFonts w:hint="eastAsia" w:ascii="仿宋" w:hAnsi="仿宋" w:eastAsia="仿宋" w:cs="仿宋"/>
          <w:bCs/>
          <w:color w:val="auto"/>
          <w:kern w:val="44"/>
          <w:sz w:val="32"/>
          <w:szCs w:val="32"/>
        </w:rPr>
        <w:t>财政拨款收入</w:t>
      </w:r>
      <w:r>
        <w:rPr>
          <w:rFonts w:hint="eastAsia" w:ascii="仿宋" w:hAnsi="仿宋" w:eastAsia="仿宋" w:cs="仿宋"/>
          <w:color w:val="auto"/>
          <w:sz w:val="32"/>
          <w:szCs w:val="32"/>
        </w:rPr>
        <w:t>”、“</w:t>
      </w:r>
      <w:r>
        <w:rPr>
          <w:rFonts w:hint="eastAsia" w:ascii="仿宋" w:hAnsi="仿宋" w:eastAsia="仿宋" w:cs="仿宋"/>
          <w:bCs/>
          <w:color w:val="auto"/>
          <w:kern w:val="44"/>
          <w:sz w:val="32"/>
          <w:szCs w:val="32"/>
        </w:rPr>
        <w:t>国有资本经营预算财政拨款收入</w:t>
      </w:r>
      <w:r>
        <w:rPr>
          <w:rFonts w:hint="eastAsia" w:ascii="仿宋" w:hAnsi="仿宋" w:eastAsia="仿宋" w:cs="仿宋"/>
          <w:color w:val="auto"/>
          <w:sz w:val="32"/>
          <w:szCs w:val="32"/>
        </w:rPr>
        <w:t>”、“</w:t>
      </w:r>
      <w:r>
        <w:rPr>
          <w:rFonts w:hint="eastAsia" w:ascii="仿宋" w:hAnsi="仿宋" w:eastAsia="仿宋" w:cs="仿宋"/>
          <w:bCs/>
          <w:color w:val="auto"/>
          <w:kern w:val="44"/>
          <w:sz w:val="32"/>
          <w:szCs w:val="32"/>
        </w:rPr>
        <w:t>上级补助收入</w:t>
      </w:r>
      <w:r>
        <w:rPr>
          <w:rFonts w:hint="eastAsia" w:ascii="仿宋" w:hAnsi="仿宋" w:eastAsia="仿宋" w:cs="仿宋"/>
          <w:color w:val="auto"/>
          <w:sz w:val="32"/>
          <w:szCs w:val="32"/>
        </w:rPr>
        <w:t>”、“事业收入”、“经营收入”等收入以外的各项收入。</w:t>
      </w:r>
    </w:p>
    <w:p>
      <w:pPr>
        <w:adjustRightInd w:val="0"/>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bCs/>
          <w:color w:val="auto"/>
          <w:kern w:val="44"/>
          <w:sz w:val="32"/>
          <w:szCs w:val="32"/>
        </w:rPr>
        <w:t>(八)使用非财政拨款结余：</w:t>
      </w:r>
      <w:r>
        <w:rPr>
          <w:rFonts w:hint="eastAsia" w:ascii="仿宋" w:hAnsi="仿宋" w:eastAsia="仿宋" w:cs="仿宋"/>
          <w:color w:val="auto"/>
          <w:sz w:val="32"/>
          <w:szCs w:val="32"/>
        </w:rPr>
        <w:t>指事业单位使用以前年度积累的非财政拨款结余弥补当年收支差额的金额。</w:t>
      </w:r>
    </w:p>
    <w:p>
      <w:pPr>
        <w:adjustRightInd w:val="0"/>
        <w:snapToGrid w:val="0"/>
        <w:spacing w:line="360" w:lineRule="auto"/>
        <w:ind w:firstLine="640" w:firstLineChars="200"/>
        <w:rPr>
          <w:rFonts w:hint="eastAsia" w:ascii="仿宋" w:hAnsi="仿宋" w:eastAsia="仿宋" w:cs="仿宋"/>
          <w:bCs/>
          <w:color w:val="auto"/>
          <w:kern w:val="44"/>
          <w:sz w:val="32"/>
          <w:szCs w:val="32"/>
          <w:highlight w:val="yellow"/>
        </w:rPr>
      </w:pPr>
      <w:r>
        <w:rPr>
          <w:rFonts w:hint="eastAsia" w:ascii="仿宋" w:hAnsi="仿宋" w:eastAsia="仿宋" w:cs="仿宋"/>
          <w:bCs/>
          <w:color w:val="auto"/>
          <w:kern w:val="44"/>
          <w:sz w:val="32"/>
          <w:szCs w:val="32"/>
        </w:rPr>
        <w:t>(九)年初结转和结余：</w:t>
      </w:r>
      <w:r>
        <w:rPr>
          <w:rFonts w:hint="eastAsia" w:ascii="仿宋" w:hAnsi="仿宋" w:eastAsia="仿宋" w:cs="仿宋"/>
          <w:color w:val="auto"/>
          <w:sz w:val="32"/>
          <w:szCs w:val="32"/>
        </w:rPr>
        <w:t>指单位以前年度尚未完成、结转到本年仍按原规定用途继续使用的资金，或项目已完成等产生的结余资金。</w:t>
      </w:r>
    </w:p>
    <w:p>
      <w:pPr>
        <w:adjustRightInd w:val="0"/>
        <w:snapToGrid w:val="0"/>
        <w:spacing w:line="360" w:lineRule="auto"/>
        <w:ind w:firstLine="640" w:firstLineChars="200"/>
        <w:rPr>
          <w:rFonts w:hint="eastAsia" w:ascii="仿宋" w:hAnsi="仿宋" w:eastAsia="仿宋" w:cs="仿宋"/>
          <w:bCs/>
          <w:color w:val="auto"/>
          <w:kern w:val="44"/>
          <w:sz w:val="32"/>
          <w:szCs w:val="32"/>
        </w:rPr>
      </w:pPr>
      <w:r>
        <w:rPr>
          <w:rFonts w:hint="eastAsia" w:ascii="仿宋" w:hAnsi="仿宋" w:eastAsia="仿宋" w:cs="仿宋"/>
          <w:bCs/>
          <w:color w:val="auto"/>
          <w:kern w:val="44"/>
          <w:sz w:val="32"/>
          <w:szCs w:val="32"/>
        </w:rPr>
        <w:t>(十)本部门使用的支出功能分类科目</w:t>
      </w:r>
    </w:p>
    <w:p>
      <w:pPr>
        <w:adjustRightInd w:val="0"/>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bCs/>
          <w:color w:val="auto"/>
          <w:kern w:val="44"/>
          <w:sz w:val="32"/>
          <w:szCs w:val="32"/>
        </w:rPr>
        <w:t>1.</w:t>
      </w:r>
      <w:r>
        <w:rPr>
          <w:rFonts w:hint="eastAsia" w:ascii="仿宋" w:hAnsi="仿宋" w:eastAsia="仿宋" w:cs="仿宋"/>
          <w:color w:val="auto"/>
          <w:sz w:val="32"/>
          <w:szCs w:val="32"/>
        </w:rPr>
        <w:t>一般公共服务(类)</w:t>
      </w:r>
    </w:p>
    <w:p>
      <w:pPr>
        <w:adjustRightInd w:val="0"/>
        <w:snapToGrid w:val="0"/>
        <w:spacing w:line="360" w:lineRule="auto"/>
        <w:ind w:firstLine="640" w:firstLineChars="200"/>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val="en-US" w:eastAsia="zh-CN"/>
        </w:rPr>
        <w:t>2、</w:t>
      </w:r>
      <w:r>
        <w:rPr>
          <w:rFonts w:hint="eastAsia" w:ascii="仿宋" w:hAnsi="仿宋" w:eastAsia="仿宋" w:cs="仿宋"/>
          <w:bCs/>
          <w:color w:val="auto"/>
          <w:sz w:val="32"/>
          <w:szCs w:val="32"/>
          <w:lang w:eastAsia="zh-CN"/>
        </w:rPr>
        <w:t>教育支出（</w:t>
      </w:r>
      <w:r>
        <w:rPr>
          <w:rFonts w:hint="eastAsia" w:ascii="仿宋" w:hAnsi="仿宋" w:eastAsia="仿宋" w:cs="仿宋"/>
          <w:bCs/>
          <w:color w:val="auto"/>
          <w:sz w:val="32"/>
          <w:szCs w:val="32"/>
          <w:lang w:val="en-US" w:eastAsia="zh-CN"/>
        </w:rPr>
        <w:t>类</w:t>
      </w:r>
      <w:r>
        <w:rPr>
          <w:rFonts w:hint="eastAsia" w:ascii="仿宋" w:hAnsi="仿宋" w:eastAsia="仿宋" w:cs="仿宋"/>
          <w:bCs/>
          <w:color w:val="auto"/>
          <w:sz w:val="32"/>
          <w:szCs w:val="32"/>
          <w:lang w:eastAsia="zh-CN"/>
        </w:rPr>
        <w:t>）</w:t>
      </w:r>
    </w:p>
    <w:p>
      <w:pPr>
        <w:adjustRightInd w:val="0"/>
        <w:snapToGrid w:val="0"/>
        <w:spacing w:line="360" w:lineRule="auto"/>
        <w:ind w:firstLine="640" w:firstLineChars="200"/>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val="en-US" w:eastAsia="zh-CN"/>
        </w:rPr>
        <w:t>3、</w:t>
      </w:r>
      <w:r>
        <w:rPr>
          <w:rFonts w:hint="eastAsia" w:ascii="仿宋" w:hAnsi="仿宋" w:eastAsia="仿宋" w:cs="仿宋"/>
          <w:bCs/>
          <w:color w:val="auto"/>
          <w:sz w:val="32"/>
          <w:szCs w:val="32"/>
          <w:lang w:eastAsia="zh-CN"/>
        </w:rPr>
        <w:t>社会保障和就业支出（</w:t>
      </w:r>
      <w:r>
        <w:rPr>
          <w:rFonts w:hint="eastAsia" w:ascii="仿宋" w:hAnsi="仿宋" w:eastAsia="仿宋" w:cs="仿宋"/>
          <w:bCs/>
          <w:color w:val="auto"/>
          <w:sz w:val="32"/>
          <w:szCs w:val="32"/>
          <w:lang w:val="en-US" w:eastAsia="zh-CN"/>
        </w:rPr>
        <w:t>类</w:t>
      </w:r>
      <w:r>
        <w:rPr>
          <w:rFonts w:hint="eastAsia" w:ascii="仿宋" w:hAnsi="仿宋" w:eastAsia="仿宋" w:cs="仿宋"/>
          <w:bCs/>
          <w:color w:val="auto"/>
          <w:sz w:val="32"/>
          <w:szCs w:val="32"/>
          <w:lang w:eastAsia="zh-CN"/>
        </w:rPr>
        <w:t>）</w:t>
      </w:r>
    </w:p>
    <w:p>
      <w:pPr>
        <w:adjustRightInd w:val="0"/>
        <w:snapToGrid w:val="0"/>
        <w:spacing w:line="360" w:lineRule="auto"/>
        <w:ind w:firstLine="640" w:firstLineChars="200"/>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val="en-US" w:eastAsia="zh-CN"/>
        </w:rPr>
        <w:t>4、卫生健康支出</w:t>
      </w: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类</w:t>
      </w:r>
      <w:r>
        <w:rPr>
          <w:rFonts w:hint="eastAsia" w:ascii="仿宋" w:hAnsi="仿宋" w:eastAsia="仿宋" w:cs="仿宋"/>
          <w:bCs/>
          <w:color w:val="auto"/>
          <w:sz w:val="32"/>
          <w:szCs w:val="32"/>
          <w:lang w:eastAsia="zh-CN"/>
        </w:rPr>
        <w:t>）</w:t>
      </w:r>
    </w:p>
    <w:p>
      <w:pPr>
        <w:adjustRightInd w:val="0"/>
        <w:snapToGrid w:val="0"/>
        <w:spacing w:line="360" w:lineRule="auto"/>
        <w:ind w:firstLine="640" w:firstLineChars="200"/>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val="en-US" w:eastAsia="zh-CN"/>
        </w:rPr>
        <w:t>5、住房保障支出</w:t>
      </w: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类</w:t>
      </w:r>
      <w:r>
        <w:rPr>
          <w:rFonts w:hint="eastAsia" w:ascii="仿宋" w:hAnsi="仿宋" w:eastAsia="仿宋" w:cs="仿宋"/>
          <w:bCs/>
          <w:color w:val="auto"/>
          <w:sz w:val="32"/>
          <w:szCs w:val="32"/>
          <w:lang w:eastAsia="zh-CN"/>
        </w:rPr>
        <w:t>）</w:t>
      </w:r>
    </w:p>
    <w:p>
      <w:pPr>
        <w:adjustRightInd w:val="0"/>
        <w:snapToGrid w:val="0"/>
        <w:spacing w:line="360" w:lineRule="auto"/>
        <w:ind w:firstLine="640" w:firstLineChars="200"/>
        <w:rPr>
          <w:rFonts w:hint="eastAsia" w:ascii="仿宋" w:hAnsi="仿宋" w:eastAsia="仿宋" w:cs="仿宋"/>
          <w:bCs/>
          <w:color w:val="auto"/>
          <w:kern w:val="44"/>
          <w:sz w:val="32"/>
          <w:szCs w:val="32"/>
        </w:rPr>
      </w:pPr>
      <w:r>
        <w:rPr>
          <w:rFonts w:hint="eastAsia" w:ascii="仿宋" w:hAnsi="仿宋" w:eastAsia="仿宋" w:cs="仿宋"/>
          <w:bCs/>
          <w:color w:val="auto"/>
          <w:kern w:val="44"/>
          <w:sz w:val="32"/>
          <w:szCs w:val="32"/>
        </w:rPr>
        <w:t xml:space="preserve"> (十一)结余分配：指事业单位按照会计制度规定缴纳的企业所得税、提取的专用结余以及转入非财政拨款结余的金额等。</w:t>
      </w:r>
    </w:p>
    <w:p>
      <w:pPr>
        <w:adjustRightInd w:val="0"/>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bCs/>
          <w:color w:val="auto"/>
          <w:kern w:val="44"/>
          <w:sz w:val="32"/>
          <w:szCs w:val="32"/>
        </w:rPr>
        <w:t>(十二)年末结转和结余：指单位按有关规定结转到下年或以后年度继续使用的资金，或项目已完成等产生的结余资金。</w:t>
      </w:r>
    </w:p>
    <w:p>
      <w:pPr>
        <w:adjustRightInd w:val="0"/>
        <w:snapToGrid w:val="0"/>
        <w:spacing w:line="360" w:lineRule="auto"/>
        <w:ind w:firstLine="640" w:firstLineChars="200"/>
        <w:rPr>
          <w:rFonts w:hint="eastAsia" w:ascii="仿宋" w:hAnsi="仿宋" w:eastAsia="仿宋" w:cs="仿宋"/>
          <w:bCs/>
          <w:color w:val="auto"/>
          <w:kern w:val="44"/>
          <w:sz w:val="32"/>
          <w:szCs w:val="32"/>
        </w:rPr>
      </w:pPr>
      <w:r>
        <w:rPr>
          <w:rFonts w:hint="eastAsia" w:ascii="仿宋" w:hAnsi="仿宋" w:eastAsia="仿宋" w:cs="仿宋"/>
          <w:bCs/>
          <w:color w:val="auto"/>
          <w:kern w:val="44"/>
          <w:sz w:val="32"/>
          <w:szCs w:val="32"/>
        </w:rPr>
        <w:t>(十三)基本支出：指为保障机构正常运转、完成日常工作任务而发生的人员支出和公用支出。</w:t>
      </w:r>
    </w:p>
    <w:p>
      <w:pPr>
        <w:adjustRightInd w:val="0"/>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(十四)项目支出：指在基本支出之外为完成特定行政任务或事业发展目标所发生的支出。</w:t>
      </w:r>
    </w:p>
    <w:p>
      <w:pPr>
        <w:adjustRightInd w:val="0"/>
        <w:snapToGrid w:val="0"/>
        <w:spacing w:line="360" w:lineRule="auto"/>
        <w:ind w:firstLine="640" w:firstLineChars="200"/>
        <w:rPr>
          <w:rFonts w:hint="eastAsia" w:ascii="仿宋" w:hAnsi="仿宋" w:eastAsia="仿宋" w:cs="仿宋"/>
          <w:bCs/>
          <w:color w:val="auto"/>
          <w:kern w:val="44"/>
          <w:sz w:val="32"/>
          <w:szCs w:val="32"/>
          <w:lang w:eastAsia="zh-CN"/>
        </w:rPr>
      </w:pPr>
      <w:r>
        <w:rPr>
          <w:rFonts w:hint="eastAsia" w:ascii="仿宋" w:hAnsi="仿宋" w:eastAsia="仿宋" w:cs="仿宋"/>
          <w:color w:val="auto"/>
          <w:sz w:val="32"/>
          <w:szCs w:val="32"/>
        </w:rPr>
        <w:t>(十五)</w:t>
      </w:r>
      <w:r>
        <w:rPr>
          <w:rFonts w:hint="eastAsia" w:ascii="仿宋" w:hAnsi="仿宋" w:eastAsia="仿宋" w:cs="仿宋"/>
          <w:bCs/>
          <w:color w:val="auto"/>
          <w:kern w:val="44"/>
          <w:sz w:val="32"/>
          <w:szCs w:val="32"/>
        </w:rPr>
        <w:t>经营支出：指事业单位在专业活动及辅助活动之外开展非独立核算经营活动发生的支出</w:t>
      </w:r>
      <w:r>
        <w:rPr>
          <w:rFonts w:hint="eastAsia" w:ascii="仿宋" w:hAnsi="仿宋" w:eastAsia="仿宋" w:cs="仿宋"/>
          <w:bCs/>
          <w:color w:val="auto"/>
          <w:kern w:val="44"/>
          <w:sz w:val="32"/>
          <w:szCs w:val="32"/>
          <w:lang w:eastAsia="zh-CN"/>
        </w:rPr>
        <w:t>。</w:t>
      </w:r>
    </w:p>
    <w:p>
      <w:pPr>
        <w:keepNext w:val="0"/>
        <w:keepLines w:val="0"/>
        <w:pageBreakBefore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十六）“三公”经费：纳入财政一般公共预算管理的“三公”经费，是指县直部门用一般公共预算财政拨款安排的因公出国（境）费、公务用车购置及运行费和公务接待费。其中，因公出国（境）费反映单位公务出国（境）的国际差旅费、国外城市间交通费、住宿费、伙食费、培训费、公杂费等支出；公务用车购置及运行费反映单位公务用车购置支出（含车辆购置税、牌照费）及燃料费、维修费、过桥过路费、保险费、安全奖励费用等支出；公务接待费反映单位按规定开支的各类公务接待（含外宾接待）费用。</w:t>
      </w:r>
    </w:p>
    <w:p>
      <w:pPr>
        <w:keepNext w:val="0"/>
        <w:keepLines w:val="0"/>
        <w:pageBreakBefore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十七）机关运行经费：指为保障行政单位（包括参照公务员法管理的事业单位）运行用于购买货物和服务的各项资金，包括办公费、印刷费、邮电费、差旅费、会议费、福利费、日常维修费、专用材料及一般设备购置费、办公用房水电费、办公用房取暖费、办公用房物业管理费、公务用车运行维护费以及其他费用。</w:t>
      </w:r>
    </w:p>
    <w:p>
      <w:pPr>
        <w:keepNext w:val="0"/>
        <w:keepLines w:val="0"/>
        <w:pageBreakBefore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（十八）其他专用名词。</w:t>
      </w:r>
    </w:p>
    <w:p>
      <w:pPr>
        <w:keepNext w:val="0"/>
        <w:keepLines w:val="0"/>
        <w:pageBreakBefore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65" w:beforeAutospacing="0" w:after="75" w:afterAutospacing="0" w:line="525" w:lineRule="atLeast"/>
        <w:ind w:left="0" w:right="0" w:firstLine="420"/>
        <w:jc w:val="center"/>
        <w:rPr>
          <w:rFonts w:hint="eastAsia" w:ascii="黑体" w:hAnsi="黑体" w:eastAsia="黑体" w:cs="黑体"/>
          <w:i w:val="0"/>
          <w:iCs w:val="0"/>
          <w:caps w:val="0"/>
          <w:color w:val="auto"/>
          <w:spacing w:val="0"/>
          <w:sz w:val="44"/>
          <w:szCs w:val="44"/>
        </w:rPr>
      </w:pPr>
      <w:r>
        <w:rPr>
          <w:rStyle w:val="10"/>
          <w:rFonts w:hint="eastAsia" w:ascii="黑体" w:hAnsi="黑体" w:eastAsia="黑体" w:cs="黑体"/>
          <w:i w:val="0"/>
          <w:iCs w:val="0"/>
          <w:caps w:val="0"/>
          <w:color w:val="auto"/>
          <w:spacing w:val="0"/>
          <w:sz w:val="44"/>
          <w:szCs w:val="44"/>
          <w:shd w:val="clear" w:fill="FFFFFF"/>
        </w:rPr>
        <w:t>第六部分　见附件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65" w:beforeAutospacing="0" w:after="75" w:afterAutospacing="0" w:line="525" w:lineRule="atLeast"/>
        <w:ind w:left="0" w:right="0" w:firstLine="420"/>
        <w:jc w:val="left"/>
        <w:rPr>
          <w:rFonts w:hint="eastAsia" w:ascii="仿宋" w:hAnsi="仿宋" w:eastAsia="仿宋" w:cs="仿宋"/>
          <w:b/>
          <w:bCs/>
          <w:i w:val="0"/>
          <w:iCs w:val="0"/>
          <w:caps w:val="0"/>
          <w:color w:val="auto"/>
          <w:spacing w:val="0"/>
          <w:sz w:val="31"/>
          <w:szCs w:val="31"/>
        </w:rPr>
      </w:pPr>
      <w:r>
        <w:rPr>
          <w:rFonts w:hint="eastAsia" w:ascii="仿宋" w:hAnsi="仿宋" w:eastAsia="仿宋" w:cs="仿宋"/>
          <w:b/>
          <w:bCs/>
          <w:i w:val="0"/>
          <w:iCs w:val="0"/>
          <w:caps w:val="0"/>
          <w:color w:val="auto"/>
          <w:spacing w:val="0"/>
          <w:sz w:val="31"/>
          <w:szCs w:val="31"/>
          <w:shd w:val="clear" w:fill="FFFFFF"/>
        </w:rPr>
        <w:t>2022年度部门名称整体绩效评价报告</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65" w:beforeAutospacing="0" w:after="75" w:afterAutospacing="0" w:line="525" w:lineRule="atLeast"/>
        <w:ind w:left="0" w:right="0" w:firstLine="420"/>
        <w:jc w:val="left"/>
        <w:rPr>
          <w:rFonts w:hint="eastAsia" w:ascii="仿宋" w:hAnsi="仿宋" w:eastAsia="仿宋" w:cs="仿宋"/>
          <w:i w:val="0"/>
          <w:iCs w:val="0"/>
          <w:caps w:val="0"/>
          <w:color w:val="auto"/>
          <w:spacing w:val="0"/>
          <w:sz w:val="31"/>
          <w:szCs w:val="31"/>
        </w:rPr>
      </w:pPr>
      <w:r>
        <w:rPr>
          <w:rFonts w:hint="eastAsia" w:ascii="仿宋" w:hAnsi="仿宋" w:eastAsia="仿宋" w:cs="仿宋"/>
          <w:i w:val="0"/>
          <w:iCs w:val="0"/>
          <w:caps w:val="0"/>
          <w:color w:val="auto"/>
          <w:spacing w:val="0"/>
          <w:sz w:val="31"/>
          <w:szCs w:val="31"/>
          <w:shd w:val="clear" w:fill="FFFFFF"/>
        </w:rPr>
        <w:t>2022年度</w:t>
      </w:r>
      <w:r>
        <w:rPr>
          <w:rFonts w:hint="eastAsia" w:ascii="仿宋" w:hAnsi="仿宋" w:eastAsia="仿宋" w:cs="仿宋"/>
          <w:i w:val="0"/>
          <w:iCs w:val="0"/>
          <w:caps w:val="0"/>
          <w:color w:val="auto"/>
          <w:spacing w:val="0"/>
          <w:sz w:val="31"/>
          <w:szCs w:val="31"/>
          <w:shd w:val="clear" w:fill="FFFFFF"/>
          <w:lang w:val="en-US" w:eastAsia="zh-CN"/>
        </w:rPr>
        <w:t>崇阳县教育局（汇总）</w:t>
      </w:r>
      <w:r>
        <w:rPr>
          <w:rFonts w:hint="eastAsia" w:ascii="仿宋" w:hAnsi="仿宋" w:eastAsia="仿宋" w:cs="仿宋"/>
          <w:i w:val="0"/>
          <w:iCs w:val="0"/>
          <w:caps w:val="0"/>
          <w:color w:val="auto"/>
          <w:spacing w:val="0"/>
          <w:sz w:val="31"/>
          <w:szCs w:val="31"/>
          <w:shd w:val="clear" w:fill="FFFFFF"/>
        </w:rPr>
        <w:t>整体绩效自评结果</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65" w:beforeAutospacing="0" w:after="75" w:afterAutospacing="0" w:line="525" w:lineRule="atLeast"/>
        <w:ind w:left="0" w:right="0" w:firstLine="420"/>
        <w:jc w:val="both"/>
        <w:rPr>
          <w:rFonts w:hint="eastAsia" w:ascii="仿宋" w:hAnsi="仿宋" w:eastAsia="仿宋" w:cs="仿宋"/>
          <w:b/>
          <w:bCs/>
          <w:i w:val="0"/>
          <w:iCs w:val="0"/>
          <w:caps w:val="0"/>
          <w:color w:val="auto"/>
          <w:spacing w:val="0"/>
          <w:sz w:val="31"/>
          <w:szCs w:val="31"/>
        </w:rPr>
      </w:pPr>
      <w:r>
        <w:rPr>
          <w:rFonts w:hint="eastAsia" w:ascii="仿宋" w:hAnsi="仿宋" w:eastAsia="仿宋" w:cs="仿宋"/>
          <w:b/>
          <w:bCs/>
          <w:i w:val="0"/>
          <w:iCs w:val="0"/>
          <w:caps w:val="0"/>
          <w:color w:val="auto"/>
          <w:spacing w:val="0"/>
          <w:sz w:val="31"/>
          <w:szCs w:val="31"/>
          <w:shd w:val="clear" w:fill="FFFFFF"/>
        </w:rPr>
        <w:t>（一）部门整体绩效自评得分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65" w:beforeAutospacing="0" w:after="75" w:afterAutospacing="0" w:line="525" w:lineRule="atLeast"/>
        <w:ind w:left="0" w:right="0" w:firstLine="420"/>
        <w:jc w:val="both"/>
        <w:rPr>
          <w:rFonts w:hint="eastAsia" w:ascii="仿宋" w:hAnsi="仿宋" w:eastAsia="仿宋" w:cs="仿宋"/>
          <w:i w:val="0"/>
          <w:iCs w:val="0"/>
          <w:caps w:val="0"/>
          <w:color w:val="auto"/>
          <w:spacing w:val="0"/>
          <w:sz w:val="31"/>
          <w:szCs w:val="31"/>
        </w:rPr>
      </w:pPr>
      <w:r>
        <w:rPr>
          <w:rFonts w:hint="eastAsia" w:ascii="仿宋" w:hAnsi="仿宋" w:eastAsia="仿宋" w:cs="仿宋"/>
          <w:i w:val="0"/>
          <w:iCs w:val="0"/>
          <w:caps w:val="0"/>
          <w:color w:val="auto"/>
          <w:spacing w:val="0"/>
          <w:sz w:val="31"/>
          <w:szCs w:val="31"/>
          <w:shd w:val="clear" w:fill="FFFFFF"/>
          <w:lang w:val="en-US" w:eastAsia="zh-CN"/>
        </w:rPr>
        <w:t>崇阳县教育局（汇总）</w:t>
      </w:r>
      <w:r>
        <w:rPr>
          <w:rFonts w:hint="eastAsia" w:ascii="仿宋" w:hAnsi="仿宋" w:eastAsia="仿宋" w:cs="仿宋"/>
          <w:i w:val="0"/>
          <w:iCs w:val="0"/>
          <w:caps w:val="0"/>
          <w:color w:val="auto"/>
          <w:spacing w:val="0"/>
          <w:sz w:val="31"/>
          <w:szCs w:val="31"/>
          <w:shd w:val="clear" w:fill="FFFFFF"/>
        </w:rPr>
        <w:t>整体绩效自评得分为</w:t>
      </w:r>
      <w:r>
        <w:rPr>
          <w:rFonts w:hint="eastAsia" w:ascii="仿宋" w:hAnsi="仿宋" w:eastAsia="仿宋" w:cs="仿宋"/>
          <w:i w:val="0"/>
          <w:iCs w:val="0"/>
          <w:caps w:val="0"/>
          <w:color w:val="auto"/>
          <w:spacing w:val="0"/>
          <w:sz w:val="31"/>
          <w:szCs w:val="31"/>
          <w:shd w:val="clear" w:fill="FFFFFF"/>
          <w:lang w:val="en-US" w:eastAsia="zh-CN"/>
        </w:rPr>
        <w:t>100</w:t>
      </w:r>
      <w:r>
        <w:rPr>
          <w:rFonts w:hint="eastAsia" w:ascii="仿宋" w:hAnsi="仿宋" w:eastAsia="仿宋" w:cs="仿宋"/>
          <w:i w:val="0"/>
          <w:iCs w:val="0"/>
          <w:caps w:val="0"/>
          <w:color w:val="auto"/>
          <w:spacing w:val="0"/>
          <w:sz w:val="31"/>
          <w:szCs w:val="31"/>
          <w:shd w:val="clear" w:fill="FFFFFF"/>
        </w:rPr>
        <w:t>分。</w:t>
      </w:r>
    </w:p>
    <w:p>
      <w:pPr>
        <w:keepNext w:val="0"/>
        <w:keepLines w:val="0"/>
        <w:pageBreakBefore w:val="0"/>
        <w:kinsoku/>
        <w:wordWrap/>
        <w:overflowPunct/>
        <w:topLinePunct w:val="0"/>
        <w:autoSpaceDE/>
        <w:autoSpaceDN/>
        <w:bidi w:val="0"/>
        <w:adjustRightInd/>
        <w:snapToGrid/>
        <w:spacing w:line="360" w:lineRule="auto"/>
        <w:ind w:firstLine="321" w:firstLineChars="100"/>
        <w:textAlignment w:val="auto"/>
        <w:rPr>
          <w:rFonts w:hint="eastAsia" w:ascii="仿宋" w:hAnsi="仿宋" w:eastAsia="仿宋" w:cs="仿宋"/>
          <w:b/>
          <w:bCs/>
          <w:color w:val="auto"/>
          <w:sz w:val="32"/>
          <w:szCs w:val="32"/>
        </w:rPr>
      </w:pPr>
      <w:r>
        <w:rPr>
          <w:rFonts w:hint="eastAsia" w:ascii="仿宋" w:hAnsi="仿宋" w:eastAsia="仿宋" w:cs="仿宋"/>
          <w:b/>
          <w:bCs/>
          <w:color w:val="auto"/>
          <w:sz w:val="32"/>
          <w:szCs w:val="32"/>
        </w:rPr>
        <w:t>（二）部门决算中</w:t>
      </w:r>
      <w:r>
        <w:rPr>
          <w:rFonts w:hint="eastAsia" w:ascii="仿宋" w:hAnsi="仿宋" w:eastAsia="仿宋" w:cs="仿宋"/>
          <w:b/>
          <w:bCs/>
          <w:color w:val="auto"/>
          <w:sz w:val="32"/>
          <w:szCs w:val="32"/>
          <w:lang w:val="en-US" w:eastAsia="zh-CN"/>
        </w:rPr>
        <w:t>整体</w:t>
      </w:r>
      <w:r>
        <w:rPr>
          <w:rFonts w:hint="eastAsia" w:ascii="仿宋" w:hAnsi="仿宋" w:eastAsia="仿宋" w:cs="仿宋"/>
          <w:b/>
          <w:bCs/>
          <w:color w:val="auto"/>
          <w:sz w:val="32"/>
          <w:szCs w:val="32"/>
        </w:rPr>
        <w:t>绩效自评结果</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Cs/>
          <w:color w:val="auto"/>
          <w:sz w:val="32"/>
          <w:szCs w:val="32"/>
        </w:rPr>
      </w:pPr>
      <w:r>
        <w:rPr>
          <w:rFonts w:hint="eastAsia" w:ascii="仿宋" w:hAnsi="仿宋" w:eastAsia="仿宋" w:cs="仿宋"/>
          <w:b w:val="0"/>
          <w:bCs w:val="0"/>
          <w:color w:val="auto"/>
          <w:sz w:val="32"/>
          <w:szCs w:val="32"/>
        </w:rPr>
        <w:t>根据改薄工程项目绩效评价要求，请第三方评</w:t>
      </w:r>
      <w:r>
        <w:rPr>
          <w:rFonts w:hint="eastAsia" w:ascii="仿宋" w:hAnsi="仿宋" w:eastAsia="仿宋" w:cs="仿宋"/>
          <w:bCs/>
          <w:color w:val="auto"/>
          <w:sz w:val="32"/>
          <w:szCs w:val="32"/>
        </w:rPr>
        <w:t>价机构从项目前期管理、组织管理水平、施工质量管理、完工验收管理、财务核算管理、绩效分析等六个方面对项目执行情况及绩效情况进行综合分析，形成评价结果。从评价情况来看，各项目经费管理规范，工作大部分已按计划完成，社会效益较好，项目可持续性强，服务对象总体满意度高。各项目所有资金实行专款专用。项目支出均有相关的授权审批，资金拨付审批程序严格，使用规范，会计核算结果真实、准确。</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Cs/>
          <w:color w:val="auto"/>
          <w:sz w:val="32"/>
          <w:szCs w:val="32"/>
        </w:rPr>
      </w:pPr>
      <w:r>
        <w:rPr>
          <w:rFonts w:hint="eastAsia" w:ascii="仿宋" w:hAnsi="仿宋" w:eastAsia="仿宋" w:cs="仿宋"/>
          <w:bCs/>
          <w:color w:val="auto"/>
          <w:sz w:val="32"/>
          <w:szCs w:val="32"/>
        </w:rPr>
        <w:t>组织开展整体支出绩效评价，从评价情况来看，部门整体支出预算管理情况良好，预算执行总额控制在年初预算批复和追加额度内且有结余；年度绩效目标完成情况良好。</w:t>
      </w:r>
    </w:p>
    <w:p>
      <w:pPr>
        <w:pStyle w:val="6"/>
        <w:keepNext w:val="0"/>
        <w:keepLines w:val="0"/>
        <w:pageBreakBefore w:val="0"/>
        <w:widowControl/>
        <w:shd w:val="clear" w:color="auto" w:fill="FFFFFF"/>
        <w:kinsoku/>
        <w:wordWrap/>
        <w:overflowPunct/>
        <w:topLinePunct w:val="0"/>
        <w:autoSpaceDE/>
        <w:autoSpaceDN/>
        <w:bidi w:val="0"/>
        <w:adjustRightInd/>
        <w:snapToGrid/>
        <w:spacing w:before="165" w:beforeAutospacing="0" w:after="75" w:afterAutospacing="0" w:line="360" w:lineRule="auto"/>
        <w:ind w:firstLine="420"/>
        <w:textAlignment w:val="auto"/>
        <w:rPr>
          <w:rFonts w:hint="eastAsia" w:ascii="仿宋" w:hAnsi="仿宋" w:eastAsia="仿宋" w:cs="仿宋"/>
          <w:b/>
          <w:bCs/>
          <w:color w:val="auto"/>
          <w:kern w:val="2"/>
          <w:sz w:val="32"/>
          <w:szCs w:val="32"/>
        </w:rPr>
      </w:pPr>
      <w:r>
        <w:rPr>
          <w:rFonts w:hint="eastAsia" w:ascii="仿宋" w:hAnsi="仿宋" w:eastAsia="仿宋" w:cs="仿宋"/>
          <w:b/>
          <w:bCs/>
          <w:color w:val="auto"/>
          <w:kern w:val="2"/>
          <w:sz w:val="32"/>
          <w:szCs w:val="32"/>
        </w:rPr>
        <w:t>（三）绩效评价结果应用情况</w:t>
      </w:r>
    </w:p>
    <w:p>
      <w:pPr>
        <w:pageBreakBefore w:val="0"/>
        <w:kinsoku/>
        <w:wordWrap/>
        <w:overflowPunct/>
        <w:topLinePunct w:val="0"/>
        <w:autoSpaceDE/>
        <w:autoSpaceDN/>
        <w:bidi w:val="0"/>
        <w:adjustRightInd/>
        <w:snapToGrid/>
        <w:jc w:val="left"/>
        <w:textAlignment w:val="auto"/>
        <w:outlineLvl w:val="9"/>
        <w:rPr>
          <w:rFonts w:hint="eastAsia" w:ascii="仿宋" w:hAnsi="仿宋" w:eastAsia="仿宋" w:cs="仿宋"/>
          <w:bCs/>
          <w:color w:val="auto"/>
          <w:kern w:val="2"/>
          <w:sz w:val="32"/>
          <w:szCs w:val="32"/>
        </w:rPr>
      </w:pPr>
      <w:r>
        <w:rPr>
          <w:rFonts w:hint="eastAsia" w:ascii="仿宋" w:hAnsi="仿宋" w:eastAsia="仿宋" w:cs="仿宋"/>
          <w:bCs/>
          <w:color w:val="auto"/>
          <w:kern w:val="2"/>
          <w:sz w:val="32"/>
          <w:szCs w:val="32"/>
        </w:rPr>
        <w:t>在以后的工作中增强单位的绩效评价主体责任意识，合理规划预算资金分配，切实加强项目整改落实，推动绩效评价结果与预算安排相结合。根据绩效指标体系与本次绩效评价情况调整下年度的指标体系;进一步规范档案管理工作，加强项目资料归档管理，指派专人负责项目资料的分类归档。加强项目绩效评价的工作总结与探讨，吸收各科室的意见和建议，从而在今后的评价中不断改进和完善指标体系。</w:t>
      </w:r>
    </w:p>
    <w:p>
      <w:pPr>
        <w:pStyle w:val="3"/>
        <w:rPr>
          <w:rFonts w:hint="eastAsia"/>
        </w:rPr>
      </w:pPr>
    </w:p>
    <w:p>
      <w:pPr>
        <w:pageBreakBefore w:val="0"/>
        <w:kinsoku/>
        <w:wordWrap/>
        <w:overflowPunct/>
        <w:topLinePunct w:val="0"/>
        <w:autoSpaceDE/>
        <w:autoSpaceDN/>
        <w:bidi w:val="0"/>
        <w:adjustRightInd/>
        <w:snapToGrid/>
        <w:jc w:val="left"/>
        <w:textAlignment w:val="auto"/>
        <w:outlineLvl w:val="9"/>
        <w:rPr>
          <w:rFonts w:hint="eastAsia" w:ascii="仿宋" w:hAnsi="仿宋" w:eastAsia="仿宋" w:cs="仿宋"/>
          <w:b/>
          <w:bCs w:val="0"/>
          <w:color w:val="auto"/>
          <w:kern w:val="0"/>
          <w:sz w:val="30"/>
          <w:szCs w:val="30"/>
          <w:lang w:eastAsia="zh-CN"/>
        </w:rPr>
      </w:pPr>
      <w:r>
        <w:rPr>
          <w:rFonts w:hint="eastAsia" w:ascii="仿宋" w:hAnsi="仿宋" w:eastAsia="仿宋" w:cs="仿宋"/>
          <w:bCs/>
          <w:color w:val="auto"/>
          <w:sz w:val="30"/>
          <w:szCs w:val="30"/>
          <w:lang w:eastAsia="zh-CN"/>
        </w:rPr>
        <w:t>附：</w:t>
      </w:r>
      <w:r>
        <w:rPr>
          <w:rFonts w:hint="eastAsia" w:ascii="仿宋" w:hAnsi="仿宋" w:eastAsia="仿宋" w:cs="仿宋"/>
          <w:b/>
          <w:color w:val="auto"/>
          <w:sz w:val="30"/>
          <w:szCs w:val="30"/>
          <w:lang w:eastAsia="zh-CN"/>
        </w:rPr>
        <w:t>2022</w:t>
      </w:r>
      <w:r>
        <w:rPr>
          <w:rFonts w:hint="eastAsia" w:ascii="仿宋" w:hAnsi="仿宋" w:eastAsia="仿宋" w:cs="仿宋"/>
          <w:b/>
          <w:color w:val="auto"/>
          <w:sz w:val="30"/>
          <w:szCs w:val="30"/>
        </w:rPr>
        <w:t>年度</w:t>
      </w:r>
      <w:r>
        <w:rPr>
          <w:rFonts w:hint="eastAsia" w:ascii="仿宋" w:hAnsi="仿宋" w:eastAsia="仿宋" w:cs="仿宋"/>
          <w:b/>
          <w:color w:val="auto"/>
          <w:sz w:val="30"/>
          <w:szCs w:val="30"/>
          <w:lang w:eastAsia="zh-CN"/>
        </w:rPr>
        <w:t>崇阳县教育局（汇总）部门</w:t>
      </w:r>
      <w:r>
        <w:rPr>
          <w:rFonts w:hint="eastAsia" w:ascii="仿宋" w:hAnsi="仿宋" w:eastAsia="仿宋" w:cs="仿宋"/>
          <w:b/>
          <w:color w:val="auto"/>
          <w:sz w:val="30"/>
          <w:szCs w:val="30"/>
        </w:rPr>
        <w:t>整体绩效</w:t>
      </w:r>
      <w:r>
        <w:rPr>
          <w:rFonts w:hint="eastAsia" w:ascii="仿宋" w:hAnsi="仿宋" w:eastAsia="仿宋" w:cs="仿宋"/>
          <w:b/>
          <w:color w:val="auto"/>
          <w:sz w:val="30"/>
          <w:szCs w:val="30"/>
          <w:lang w:val="en-US" w:eastAsia="zh-CN"/>
        </w:rPr>
        <w:t>自</w:t>
      </w:r>
      <w:r>
        <w:rPr>
          <w:rFonts w:hint="eastAsia" w:ascii="仿宋" w:hAnsi="仿宋" w:eastAsia="仿宋" w:cs="仿宋"/>
          <w:b/>
          <w:color w:val="auto"/>
          <w:sz w:val="30"/>
          <w:szCs w:val="30"/>
        </w:rPr>
        <w:t>评</w:t>
      </w:r>
      <w:r>
        <w:rPr>
          <w:rFonts w:hint="eastAsia" w:ascii="仿宋" w:hAnsi="仿宋" w:eastAsia="仿宋" w:cs="仿宋"/>
          <w:b/>
          <w:bCs w:val="0"/>
          <w:color w:val="auto"/>
          <w:kern w:val="0"/>
          <w:sz w:val="30"/>
          <w:szCs w:val="30"/>
          <w:lang w:eastAsia="zh-CN"/>
        </w:rPr>
        <w:t>表</w:t>
      </w:r>
    </w:p>
    <w:tbl>
      <w:tblPr>
        <w:tblStyle w:val="7"/>
        <w:tblW w:w="90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679"/>
        <w:gridCol w:w="706"/>
        <w:gridCol w:w="849"/>
        <w:gridCol w:w="1106"/>
        <w:gridCol w:w="543"/>
        <w:gridCol w:w="772"/>
        <w:gridCol w:w="1142"/>
        <w:gridCol w:w="531"/>
        <w:gridCol w:w="891"/>
        <w:gridCol w:w="18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4" w:hRule="atLeast"/>
        </w:trPr>
        <w:tc>
          <w:tcPr>
            <w:tcW w:w="679" w:type="dxa"/>
            <w:noWrap w:val="0"/>
            <w:vAlign w:val="center"/>
          </w:tcPr>
          <w:p>
            <w:pPr>
              <w:keepNext w:val="0"/>
              <w:keepLines w:val="0"/>
              <w:widowControl/>
              <w:suppressLineNumbers w:val="0"/>
              <w:spacing w:line="240" w:lineRule="auto"/>
              <w:jc w:val="both"/>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附3：</w:t>
            </w:r>
          </w:p>
        </w:tc>
        <w:tc>
          <w:tcPr>
            <w:tcW w:w="706" w:type="dxa"/>
            <w:noWrap w:val="0"/>
            <w:vAlign w:val="center"/>
          </w:tcPr>
          <w:p>
            <w:pPr>
              <w:spacing w:line="240" w:lineRule="auto"/>
              <w:rPr>
                <w:rFonts w:hint="eastAsia" w:ascii="仿宋" w:hAnsi="仿宋" w:eastAsia="仿宋" w:cs="仿宋"/>
                <w:i w:val="0"/>
                <w:color w:val="auto"/>
                <w:sz w:val="24"/>
                <w:szCs w:val="24"/>
                <w:u w:val="none"/>
              </w:rPr>
            </w:pPr>
          </w:p>
        </w:tc>
        <w:tc>
          <w:tcPr>
            <w:tcW w:w="849" w:type="dxa"/>
            <w:noWrap w:val="0"/>
            <w:vAlign w:val="center"/>
          </w:tcPr>
          <w:p>
            <w:pPr>
              <w:spacing w:line="240" w:lineRule="auto"/>
              <w:rPr>
                <w:rFonts w:hint="eastAsia" w:ascii="仿宋" w:hAnsi="仿宋" w:eastAsia="仿宋" w:cs="仿宋"/>
                <w:i w:val="0"/>
                <w:color w:val="auto"/>
                <w:sz w:val="24"/>
                <w:szCs w:val="24"/>
                <w:u w:val="none"/>
              </w:rPr>
            </w:pPr>
          </w:p>
        </w:tc>
        <w:tc>
          <w:tcPr>
            <w:tcW w:w="1106" w:type="dxa"/>
            <w:noWrap w:val="0"/>
            <w:vAlign w:val="center"/>
          </w:tcPr>
          <w:p>
            <w:pPr>
              <w:spacing w:line="240" w:lineRule="auto"/>
              <w:rPr>
                <w:rFonts w:hint="eastAsia" w:ascii="仿宋" w:hAnsi="仿宋" w:eastAsia="仿宋" w:cs="仿宋"/>
                <w:i w:val="0"/>
                <w:color w:val="auto"/>
                <w:sz w:val="24"/>
                <w:szCs w:val="24"/>
                <w:u w:val="none"/>
              </w:rPr>
            </w:pPr>
          </w:p>
        </w:tc>
        <w:tc>
          <w:tcPr>
            <w:tcW w:w="543" w:type="dxa"/>
            <w:noWrap w:val="0"/>
            <w:vAlign w:val="center"/>
          </w:tcPr>
          <w:p>
            <w:pPr>
              <w:spacing w:line="240" w:lineRule="auto"/>
              <w:rPr>
                <w:rFonts w:hint="eastAsia" w:ascii="仿宋" w:hAnsi="仿宋" w:eastAsia="仿宋" w:cs="仿宋"/>
                <w:i w:val="0"/>
                <w:color w:val="auto"/>
                <w:sz w:val="24"/>
                <w:szCs w:val="24"/>
                <w:u w:val="none"/>
              </w:rPr>
            </w:pPr>
          </w:p>
        </w:tc>
        <w:tc>
          <w:tcPr>
            <w:tcW w:w="772" w:type="dxa"/>
            <w:noWrap w:val="0"/>
            <w:vAlign w:val="center"/>
          </w:tcPr>
          <w:p>
            <w:pPr>
              <w:spacing w:line="240" w:lineRule="auto"/>
              <w:rPr>
                <w:rFonts w:hint="eastAsia" w:ascii="仿宋" w:hAnsi="仿宋" w:eastAsia="仿宋" w:cs="仿宋"/>
                <w:i w:val="0"/>
                <w:color w:val="auto"/>
                <w:sz w:val="24"/>
                <w:szCs w:val="24"/>
                <w:u w:val="none"/>
              </w:rPr>
            </w:pPr>
          </w:p>
        </w:tc>
        <w:tc>
          <w:tcPr>
            <w:tcW w:w="1142" w:type="dxa"/>
            <w:noWrap w:val="0"/>
            <w:vAlign w:val="center"/>
          </w:tcPr>
          <w:p>
            <w:pPr>
              <w:spacing w:line="240" w:lineRule="auto"/>
              <w:rPr>
                <w:rFonts w:hint="eastAsia" w:ascii="仿宋" w:hAnsi="仿宋" w:eastAsia="仿宋" w:cs="仿宋"/>
                <w:i w:val="0"/>
                <w:color w:val="auto"/>
                <w:sz w:val="24"/>
                <w:szCs w:val="24"/>
                <w:u w:val="none"/>
              </w:rPr>
            </w:pPr>
          </w:p>
        </w:tc>
        <w:tc>
          <w:tcPr>
            <w:tcW w:w="531" w:type="dxa"/>
            <w:noWrap w:val="0"/>
            <w:vAlign w:val="center"/>
          </w:tcPr>
          <w:p>
            <w:pPr>
              <w:spacing w:line="240" w:lineRule="auto"/>
              <w:rPr>
                <w:rFonts w:hint="eastAsia" w:ascii="仿宋" w:hAnsi="仿宋" w:eastAsia="仿宋" w:cs="仿宋"/>
                <w:i w:val="0"/>
                <w:color w:val="auto"/>
                <w:sz w:val="24"/>
                <w:szCs w:val="24"/>
                <w:u w:val="none"/>
              </w:rPr>
            </w:pPr>
          </w:p>
        </w:tc>
        <w:tc>
          <w:tcPr>
            <w:tcW w:w="891" w:type="dxa"/>
            <w:noWrap w:val="0"/>
            <w:vAlign w:val="center"/>
          </w:tcPr>
          <w:p>
            <w:pPr>
              <w:spacing w:line="240" w:lineRule="auto"/>
              <w:rPr>
                <w:rFonts w:hint="eastAsia" w:ascii="仿宋" w:hAnsi="仿宋" w:eastAsia="仿宋" w:cs="仿宋"/>
                <w:i w:val="0"/>
                <w:color w:val="auto"/>
                <w:sz w:val="24"/>
                <w:szCs w:val="24"/>
                <w:u w:val="none"/>
              </w:rPr>
            </w:pPr>
          </w:p>
        </w:tc>
        <w:tc>
          <w:tcPr>
            <w:tcW w:w="1821" w:type="dxa"/>
            <w:noWrap w:val="0"/>
            <w:vAlign w:val="center"/>
          </w:tcPr>
          <w:p>
            <w:pPr>
              <w:spacing w:line="240" w:lineRule="auto"/>
              <w:rPr>
                <w:rFonts w:hint="eastAsia" w:ascii="仿宋" w:hAnsi="仿宋" w:eastAsia="仿宋" w:cs="仿宋"/>
                <w:i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4" w:hRule="atLeast"/>
        </w:trPr>
        <w:tc>
          <w:tcPr>
            <w:tcW w:w="9040" w:type="dxa"/>
            <w:gridSpan w:val="10"/>
            <w:noWrap w:val="0"/>
            <w:vAlign w:val="center"/>
          </w:tcPr>
          <w:p>
            <w:pPr>
              <w:keepNext w:val="0"/>
              <w:keepLines w:val="0"/>
              <w:widowControl/>
              <w:suppressLineNumbers w:val="0"/>
              <w:spacing w:line="240" w:lineRule="auto"/>
              <w:jc w:val="center"/>
              <w:textAlignment w:val="center"/>
              <w:rPr>
                <w:rFonts w:hint="eastAsia" w:ascii="仿宋" w:hAnsi="仿宋" w:eastAsia="仿宋" w:cs="仿宋"/>
                <w:b/>
                <w:i w:val="0"/>
                <w:color w:val="auto"/>
                <w:sz w:val="24"/>
                <w:szCs w:val="24"/>
                <w:u w:val="none"/>
              </w:rPr>
            </w:pPr>
            <w:r>
              <w:rPr>
                <w:rFonts w:hint="eastAsia" w:ascii="仿宋" w:hAnsi="仿宋" w:eastAsia="仿宋" w:cs="仿宋"/>
                <w:b/>
                <w:i w:val="0"/>
                <w:color w:val="auto"/>
                <w:kern w:val="0"/>
                <w:sz w:val="24"/>
                <w:szCs w:val="24"/>
                <w:u w:val="none"/>
                <w:lang w:val="en-US" w:eastAsia="zh-CN" w:bidi="ar"/>
              </w:rPr>
              <w:t>2022年度崇阳县教育局整体绩效自评表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5" w:hRule="atLeast"/>
        </w:trPr>
        <w:tc>
          <w:tcPr>
            <w:tcW w:w="6328" w:type="dxa"/>
            <w:gridSpan w:val="8"/>
            <w:noWrap w:val="0"/>
            <w:vAlign w:val="center"/>
          </w:tcPr>
          <w:p>
            <w:pPr>
              <w:spacing w:line="240" w:lineRule="auto"/>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单位名称： 崇阳县教育局                     填报日期：</w:t>
            </w:r>
          </w:p>
        </w:tc>
        <w:tc>
          <w:tcPr>
            <w:tcW w:w="2712" w:type="dxa"/>
            <w:gridSpan w:val="2"/>
            <w:noWrap w:val="0"/>
            <w:vAlign w:val="center"/>
          </w:tcPr>
          <w:p>
            <w:pPr>
              <w:spacing w:line="240" w:lineRule="auto"/>
              <w:rPr>
                <w:rFonts w:hint="default" w:ascii="仿宋" w:hAnsi="仿宋" w:eastAsia="仿宋" w:cs="仿宋"/>
                <w:i w:val="0"/>
                <w:color w:val="auto"/>
                <w:sz w:val="24"/>
                <w:szCs w:val="24"/>
                <w:u w:val="none"/>
                <w:lang w:val="en-US"/>
              </w:rPr>
            </w:pPr>
            <w:r>
              <w:rPr>
                <w:rFonts w:hint="eastAsia" w:ascii="仿宋" w:hAnsi="仿宋" w:eastAsia="仿宋" w:cs="仿宋"/>
                <w:i w:val="0"/>
                <w:color w:val="auto"/>
                <w:kern w:val="0"/>
                <w:sz w:val="24"/>
                <w:szCs w:val="24"/>
                <w:u w:val="none"/>
                <w:lang w:val="en-US" w:eastAsia="zh-CN" w:bidi="ar"/>
              </w:rPr>
              <w:t>2023.4.13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3" w:hRule="atLeast"/>
        </w:trPr>
        <w:tc>
          <w:tcPr>
            <w:tcW w:w="138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单位名称</w:t>
            </w:r>
          </w:p>
        </w:tc>
        <w:tc>
          <w:tcPr>
            <w:tcW w:w="7655" w:type="dxa"/>
            <w:gridSpan w:val="8"/>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崇阳县教育局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3" w:hRule="atLeast"/>
        </w:trPr>
        <w:tc>
          <w:tcPr>
            <w:tcW w:w="138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基本支出总额</w:t>
            </w:r>
          </w:p>
        </w:tc>
        <w:tc>
          <w:tcPr>
            <w:tcW w:w="2498"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_GB2312" w:hAnsi="宋体" w:eastAsia="仿宋_GB2312" w:cs="仿宋_GB2312"/>
                <w:i w:val="0"/>
                <w:iCs w:val="0"/>
                <w:color w:val="auto"/>
                <w:kern w:val="0"/>
                <w:sz w:val="21"/>
                <w:szCs w:val="21"/>
                <w:u w:val="none"/>
                <w:lang w:val="en-US" w:eastAsia="zh-CN" w:bidi="ar"/>
              </w:rPr>
              <w:t>66414.79</w:t>
            </w:r>
            <w:r>
              <w:rPr>
                <w:rFonts w:hint="default" w:ascii="仿宋_GB2312" w:hAnsi="宋体" w:eastAsia="仿宋_GB2312" w:cs="仿宋_GB2312"/>
                <w:i w:val="0"/>
                <w:iCs w:val="0"/>
                <w:color w:val="auto"/>
                <w:kern w:val="0"/>
                <w:sz w:val="21"/>
                <w:szCs w:val="21"/>
                <w:u w:val="none"/>
                <w:lang w:val="en-US" w:eastAsia="zh-CN" w:bidi="ar"/>
              </w:rPr>
              <w:t xml:space="preserve"> </w:t>
            </w:r>
            <w:r>
              <w:rPr>
                <w:rFonts w:hint="eastAsia" w:ascii="仿宋" w:hAnsi="仿宋" w:eastAsia="仿宋" w:cs="仿宋"/>
                <w:i w:val="0"/>
                <w:color w:val="auto"/>
                <w:kern w:val="0"/>
                <w:sz w:val="24"/>
                <w:szCs w:val="24"/>
                <w:u w:val="none"/>
                <w:lang w:val="en-US" w:eastAsia="zh-CN" w:bidi="ar"/>
              </w:rPr>
              <w:t>万元</w:t>
            </w:r>
          </w:p>
        </w:tc>
        <w:tc>
          <w:tcPr>
            <w:tcW w:w="2445"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项目支出总额</w:t>
            </w:r>
          </w:p>
        </w:tc>
        <w:tc>
          <w:tcPr>
            <w:tcW w:w="271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_GB2312" w:hAnsi="宋体" w:eastAsia="仿宋_GB2312" w:cs="仿宋_GB2312"/>
                <w:i w:val="0"/>
                <w:iCs w:val="0"/>
                <w:color w:val="auto"/>
                <w:sz w:val="21"/>
                <w:szCs w:val="21"/>
                <w:u w:val="none"/>
                <w:lang w:val="en-US" w:eastAsia="zh-CN"/>
              </w:rPr>
              <w:t>13857.47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0" w:hRule="atLeast"/>
        </w:trPr>
        <w:tc>
          <w:tcPr>
            <w:tcW w:w="1385"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 xml:space="preserve">预算执行情况     </w:t>
            </w:r>
          </w:p>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 xml:space="preserve">（万元）    </w:t>
            </w:r>
          </w:p>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（20分）</w:t>
            </w:r>
          </w:p>
        </w:tc>
        <w:tc>
          <w:tcPr>
            <w:tcW w:w="849"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仿宋" w:hAnsi="仿宋" w:eastAsia="仿宋" w:cs="仿宋"/>
                <w:i w:val="0"/>
                <w:color w:val="auto"/>
                <w:sz w:val="24"/>
                <w:szCs w:val="24"/>
                <w:u w:val="none"/>
              </w:rPr>
            </w:pPr>
          </w:p>
        </w:tc>
        <w:tc>
          <w:tcPr>
            <w:tcW w:w="11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预算数（A）</w:t>
            </w:r>
          </w:p>
        </w:tc>
        <w:tc>
          <w:tcPr>
            <w:tcW w:w="131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执行数（B）</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执行率（B/A）</w:t>
            </w:r>
          </w:p>
        </w:tc>
        <w:tc>
          <w:tcPr>
            <w:tcW w:w="3243"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 xml:space="preserve">得分           </w:t>
            </w:r>
          </w:p>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（20分*执行率）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44" w:hRule="atLeast"/>
        </w:trPr>
        <w:tc>
          <w:tcPr>
            <w:tcW w:w="1385"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仿宋" w:hAnsi="仿宋" w:eastAsia="仿宋" w:cs="仿宋"/>
                <w:i w:val="0"/>
                <w:color w:val="auto"/>
                <w:sz w:val="24"/>
                <w:szCs w:val="24"/>
                <w:u w:val="none"/>
              </w:rPr>
            </w:pPr>
          </w:p>
        </w:tc>
        <w:tc>
          <w:tcPr>
            <w:tcW w:w="8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部门整体</w:t>
            </w:r>
          </w:p>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支出总额</w:t>
            </w:r>
          </w:p>
        </w:tc>
        <w:tc>
          <w:tcPr>
            <w:tcW w:w="11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_GB2312" w:hAnsi="宋体" w:eastAsia="仿宋_GB2312" w:cs="仿宋_GB2312"/>
                <w:i w:val="0"/>
                <w:iCs w:val="0"/>
                <w:color w:val="auto"/>
                <w:kern w:val="0"/>
                <w:sz w:val="21"/>
                <w:szCs w:val="21"/>
                <w:u w:val="none"/>
                <w:lang w:val="en-US" w:eastAsia="zh-CN" w:bidi="ar"/>
              </w:rPr>
              <w:t>80272.26</w:t>
            </w:r>
          </w:p>
        </w:tc>
        <w:tc>
          <w:tcPr>
            <w:tcW w:w="131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_GB2312" w:hAnsi="宋体" w:eastAsia="仿宋_GB2312" w:cs="仿宋_GB2312"/>
                <w:i w:val="0"/>
                <w:iCs w:val="0"/>
                <w:color w:val="auto"/>
                <w:kern w:val="0"/>
                <w:sz w:val="21"/>
                <w:szCs w:val="21"/>
                <w:u w:val="none"/>
                <w:lang w:val="en-US" w:eastAsia="zh-CN" w:bidi="ar"/>
              </w:rPr>
              <w:t>80272.26</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100%</w:t>
            </w:r>
          </w:p>
        </w:tc>
        <w:tc>
          <w:tcPr>
            <w:tcW w:w="3243"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20分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0" w:hRule="atLeast"/>
        </w:trPr>
        <w:tc>
          <w:tcPr>
            <w:tcW w:w="138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年度目标：（80分）</w:t>
            </w:r>
          </w:p>
        </w:tc>
        <w:tc>
          <w:tcPr>
            <w:tcW w:w="7655" w:type="dxa"/>
            <w:gridSpan w:val="8"/>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left"/>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大力推进教育高质量发展，进一步完善教师待遇保障和补充培养机制、加强校园安全管理，继续加强教育重大问题治理。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0" w:hRule="atLeast"/>
        </w:trPr>
        <w:tc>
          <w:tcPr>
            <w:tcW w:w="67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年度绩效指标</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 xml:space="preserve">一级 </w:t>
            </w:r>
          </w:p>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指标</w:t>
            </w:r>
          </w:p>
        </w:tc>
        <w:tc>
          <w:tcPr>
            <w:tcW w:w="8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二级指标</w:t>
            </w:r>
          </w:p>
        </w:tc>
        <w:tc>
          <w:tcPr>
            <w:tcW w:w="2421"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三级指标</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年初目标值（A）</w:t>
            </w:r>
          </w:p>
        </w:tc>
        <w:tc>
          <w:tcPr>
            <w:tcW w:w="142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实际完成值（B）</w:t>
            </w:r>
          </w:p>
        </w:tc>
        <w:tc>
          <w:tcPr>
            <w:tcW w:w="18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3" w:hRule="atLeast"/>
        </w:trPr>
        <w:tc>
          <w:tcPr>
            <w:tcW w:w="67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仿宋" w:hAnsi="仿宋" w:eastAsia="仿宋" w:cs="仿宋"/>
                <w:i w:val="0"/>
                <w:color w:val="auto"/>
                <w:sz w:val="24"/>
                <w:szCs w:val="24"/>
                <w:u w:val="none"/>
              </w:rPr>
            </w:pPr>
          </w:p>
        </w:tc>
        <w:tc>
          <w:tcPr>
            <w:tcW w:w="70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产出指标（40分）</w:t>
            </w:r>
          </w:p>
        </w:tc>
        <w:tc>
          <w:tcPr>
            <w:tcW w:w="849"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数量指标</w:t>
            </w:r>
          </w:p>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(12分)</w:t>
            </w:r>
          </w:p>
        </w:tc>
        <w:tc>
          <w:tcPr>
            <w:tcW w:w="2421"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在岗教师人数（4分）</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84人</w:t>
            </w:r>
          </w:p>
        </w:tc>
        <w:tc>
          <w:tcPr>
            <w:tcW w:w="142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84人</w:t>
            </w:r>
          </w:p>
        </w:tc>
        <w:tc>
          <w:tcPr>
            <w:tcW w:w="18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3" w:hRule="atLeast"/>
        </w:trPr>
        <w:tc>
          <w:tcPr>
            <w:tcW w:w="67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仿宋" w:hAnsi="仿宋" w:eastAsia="仿宋" w:cs="仿宋"/>
                <w:i w:val="0"/>
                <w:color w:val="auto"/>
                <w:sz w:val="24"/>
                <w:szCs w:val="24"/>
                <w:u w:val="none"/>
              </w:rPr>
            </w:pPr>
          </w:p>
        </w:tc>
        <w:tc>
          <w:tcPr>
            <w:tcW w:w="706"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仿宋" w:hAnsi="仿宋" w:eastAsia="仿宋" w:cs="仿宋"/>
                <w:i w:val="0"/>
                <w:color w:val="auto"/>
                <w:sz w:val="24"/>
                <w:szCs w:val="24"/>
                <w:u w:val="none"/>
              </w:rPr>
            </w:pPr>
          </w:p>
        </w:tc>
        <w:tc>
          <w:tcPr>
            <w:tcW w:w="849" w:type="dxa"/>
            <w:vMerge w:val="continue"/>
            <w:tcBorders>
              <w:top w:val="single" w:color="000000" w:sz="4" w:space="0"/>
              <w:left w:val="single" w:color="000000" w:sz="4" w:space="0"/>
              <w:right w:val="single" w:color="000000" w:sz="4" w:space="0"/>
            </w:tcBorders>
            <w:noWrap w:val="0"/>
            <w:vAlign w:val="center"/>
          </w:tcPr>
          <w:p>
            <w:pPr>
              <w:spacing w:line="240" w:lineRule="auto"/>
              <w:jc w:val="center"/>
              <w:rPr>
                <w:rFonts w:hint="eastAsia" w:ascii="仿宋" w:hAnsi="仿宋" w:eastAsia="仿宋" w:cs="仿宋"/>
                <w:i w:val="0"/>
                <w:color w:val="auto"/>
                <w:sz w:val="24"/>
                <w:szCs w:val="24"/>
                <w:u w:val="none"/>
              </w:rPr>
            </w:pPr>
          </w:p>
        </w:tc>
        <w:tc>
          <w:tcPr>
            <w:tcW w:w="2421"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实有教师人数（4分）</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84人</w:t>
            </w:r>
          </w:p>
        </w:tc>
        <w:tc>
          <w:tcPr>
            <w:tcW w:w="142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84人</w:t>
            </w:r>
          </w:p>
        </w:tc>
        <w:tc>
          <w:tcPr>
            <w:tcW w:w="18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3" w:hRule="atLeast"/>
        </w:trPr>
        <w:tc>
          <w:tcPr>
            <w:tcW w:w="67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仿宋" w:hAnsi="仿宋" w:eastAsia="仿宋" w:cs="仿宋"/>
                <w:i w:val="0"/>
                <w:color w:val="auto"/>
                <w:sz w:val="24"/>
                <w:szCs w:val="24"/>
                <w:u w:val="none"/>
              </w:rPr>
            </w:pPr>
          </w:p>
        </w:tc>
        <w:tc>
          <w:tcPr>
            <w:tcW w:w="706"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仿宋" w:hAnsi="仿宋" w:eastAsia="仿宋" w:cs="仿宋"/>
                <w:i w:val="0"/>
                <w:color w:val="auto"/>
                <w:sz w:val="24"/>
                <w:szCs w:val="24"/>
                <w:u w:val="none"/>
              </w:rPr>
            </w:pPr>
          </w:p>
        </w:tc>
        <w:tc>
          <w:tcPr>
            <w:tcW w:w="849" w:type="dxa"/>
            <w:vMerge w:val="continue"/>
            <w:tcBorders>
              <w:top w:val="single" w:color="000000" w:sz="4" w:space="0"/>
              <w:left w:val="single" w:color="000000" w:sz="4" w:space="0"/>
              <w:right w:val="single" w:color="000000" w:sz="4" w:space="0"/>
            </w:tcBorders>
            <w:noWrap w:val="0"/>
            <w:vAlign w:val="center"/>
          </w:tcPr>
          <w:p>
            <w:pPr>
              <w:spacing w:line="240" w:lineRule="auto"/>
              <w:jc w:val="center"/>
              <w:rPr>
                <w:rFonts w:hint="eastAsia" w:ascii="仿宋" w:hAnsi="仿宋" w:eastAsia="仿宋" w:cs="仿宋"/>
                <w:i w:val="0"/>
                <w:color w:val="auto"/>
                <w:sz w:val="24"/>
                <w:szCs w:val="24"/>
                <w:u w:val="none"/>
              </w:rPr>
            </w:pPr>
          </w:p>
        </w:tc>
        <w:tc>
          <w:tcPr>
            <w:tcW w:w="2421"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离退休人数（4分）</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85人</w:t>
            </w:r>
          </w:p>
        </w:tc>
        <w:tc>
          <w:tcPr>
            <w:tcW w:w="142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88人</w:t>
            </w:r>
          </w:p>
        </w:tc>
        <w:tc>
          <w:tcPr>
            <w:tcW w:w="18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0" w:hRule="atLeast"/>
        </w:trPr>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240" w:lineRule="auto"/>
              <w:jc w:val="center"/>
              <w:rPr>
                <w:rFonts w:hint="eastAsia" w:ascii="仿宋" w:hAnsi="仿宋" w:eastAsia="仿宋" w:cs="仿宋"/>
                <w:i w:val="0"/>
                <w:color w:val="auto"/>
                <w:sz w:val="24"/>
                <w:szCs w:val="24"/>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240" w:lineRule="auto"/>
              <w:jc w:val="center"/>
              <w:rPr>
                <w:rFonts w:hint="eastAsia" w:ascii="仿宋" w:hAnsi="仿宋" w:eastAsia="仿宋" w:cs="仿宋"/>
                <w:i w:val="0"/>
                <w:color w:val="auto"/>
                <w:sz w:val="24"/>
                <w:szCs w:val="24"/>
                <w:u w:val="none"/>
              </w:rPr>
            </w:pPr>
          </w:p>
        </w:tc>
        <w:tc>
          <w:tcPr>
            <w:tcW w:w="849"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质量指标</w:t>
            </w:r>
          </w:p>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（10分）</w:t>
            </w:r>
          </w:p>
        </w:tc>
        <w:tc>
          <w:tcPr>
            <w:tcW w:w="2421"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基础设施建设修缮工程验收合格率（2.5分）</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100%</w:t>
            </w:r>
          </w:p>
        </w:tc>
        <w:tc>
          <w:tcPr>
            <w:tcW w:w="142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100%</w:t>
            </w:r>
          </w:p>
        </w:tc>
        <w:tc>
          <w:tcPr>
            <w:tcW w:w="18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0" w:hRule="atLeast"/>
        </w:trPr>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240" w:lineRule="auto"/>
              <w:jc w:val="center"/>
              <w:rPr>
                <w:rFonts w:hint="eastAsia" w:ascii="仿宋" w:hAnsi="仿宋" w:eastAsia="仿宋" w:cs="仿宋"/>
                <w:i w:val="0"/>
                <w:color w:val="auto"/>
                <w:sz w:val="24"/>
                <w:szCs w:val="24"/>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240" w:lineRule="auto"/>
              <w:jc w:val="center"/>
              <w:rPr>
                <w:rFonts w:hint="eastAsia" w:ascii="仿宋" w:hAnsi="仿宋" w:eastAsia="仿宋" w:cs="仿宋"/>
                <w:i w:val="0"/>
                <w:color w:val="auto"/>
                <w:sz w:val="24"/>
                <w:szCs w:val="24"/>
                <w:u w:val="none"/>
              </w:rPr>
            </w:pPr>
          </w:p>
        </w:tc>
        <w:tc>
          <w:tcPr>
            <w:tcW w:w="849"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240" w:lineRule="auto"/>
              <w:jc w:val="center"/>
              <w:rPr>
                <w:rFonts w:hint="eastAsia" w:ascii="仿宋" w:hAnsi="仿宋" w:eastAsia="仿宋" w:cs="仿宋"/>
                <w:i w:val="0"/>
                <w:color w:val="auto"/>
                <w:sz w:val="24"/>
                <w:szCs w:val="24"/>
                <w:u w:val="none"/>
              </w:rPr>
            </w:pPr>
          </w:p>
        </w:tc>
        <w:tc>
          <w:tcPr>
            <w:tcW w:w="2421"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购置仪器设备合格率（2.5分）</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100%</w:t>
            </w:r>
          </w:p>
        </w:tc>
        <w:tc>
          <w:tcPr>
            <w:tcW w:w="142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100%</w:t>
            </w:r>
          </w:p>
        </w:tc>
        <w:tc>
          <w:tcPr>
            <w:tcW w:w="18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0" w:hRule="atLeast"/>
        </w:trPr>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240" w:lineRule="auto"/>
              <w:jc w:val="center"/>
              <w:rPr>
                <w:rFonts w:hint="eastAsia" w:ascii="仿宋" w:hAnsi="仿宋" w:eastAsia="仿宋" w:cs="仿宋"/>
                <w:i w:val="0"/>
                <w:color w:val="auto"/>
                <w:sz w:val="24"/>
                <w:szCs w:val="24"/>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240" w:lineRule="auto"/>
              <w:jc w:val="center"/>
              <w:rPr>
                <w:rFonts w:hint="eastAsia" w:ascii="仿宋" w:hAnsi="仿宋" w:eastAsia="仿宋" w:cs="仿宋"/>
                <w:i w:val="0"/>
                <w:color w:val="auto"/>
                <w:sz w:val="24"/>
                <w:szCs w:val="24"/>
                <w:u w:val="none"/>
              </w:rPr>
            </w:pPr>
          </w:p>
        </w:tc>
        <w:tc>
          <w:tcPr>
            <w:tcW w:w="849"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240" w:lineRule="auto"/>
              <w:jc w:val="center"/>
              <w:rPr>
                <w:rFonts w:hint="eastAsia" w:ascii="仿宋" w:hAnsi="仿宋" w:eastAsia="仿宋" w:cs="仿宋"/>
                <w:i w:val="0"/>
                <w:color w:val="auto"/>
                <w:sz w:val="24"/>
                <w:szCs w:val="24"/>
                <w:u w:val="none"/>
              </w:rPr>
            </w:pPr>
          </w:p>
        </w:tc>
        <w:tc>
          <w:tcPr>
            <w:tcW w:w="2421"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教育扶贫信息核准率（2.5分）</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100%</w:t>
            </w:r>
          </w:p>
        </w:tc>
        <w:tc>
          <w:tcPr>
            <w:tcW w:w="142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100%</w:t>
            </w:r>
          </w:p>
        </w:tc>
        <w:tc>
          <w:tcPr>
            <w:tcW w:w="18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0" w:hRule="atLeast"/>
        </w:trPr>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240" w:lineRule="auto"/>
              <w:jc w:val="center"/>
              <w:rPr>
                <w:rFonts w:hint="eastAsia" w:ascii="仿宋" w:hAnsi="仿宋" w:eastAsia="仿宋" w:cs="仿宋"/>
                <w:i w:val="0"/>
                <w:color w:val="auto"/>
                <w:sz w:val="24"/>
                <w:szCs w:val="24"/>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240" w:lineRule="auto"/>
              <w:jc w:val="center"/>
              <w:rPr>
                <w:rFonts w:hint="eastAsia" w:ascii="仿宋" w:hAnsi="仿宋" w:eastAsia="仿宋" w:cs="仿宋"/>
                <w:i w:val="0"/>
                <w:color w:val="auto"/>
                <w:sz w:val="24"/>
                <w:szCs w:val="24"/>
                <w:u w:val="none"/>
              </w:rPr>
            </w:pPr>
          </w:p>
        </w:tc>
        <w:tc>
          <w:tcPr>
            <w:tcW w:w="849"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240" w:lineRule="auto"/>
              <w:jc w:val="center"/>
              <w:rPr>
                <w:rFonts w:hint="eastAsia" w:ascii="仿宋" w:hAnsi="仿宋" w:eastAsia="仿宋" w:cs="仿宋"/>
                <w:i w:val="0"/>
                <w:color w:val="auto"/>
                <w:sz w:val="24"/>
                <w:szCs w:val="24"/>
                <w:u w:val="none"/>
              </w:rPr>
            </w:pPr>
          </w:p>
        </w:tc>
        <w:tc>
          <w:tcPr>
            <w:tcW w:w="2421"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招生录取工作计划完成率（2.5分）</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100%</w:t>
            </w:r>
          </w:p>
        </w:tc>
        <w:tc>
          <w:tcPr>
            <w:tcW w:w="142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100%</w:t>
            </w:r>
          </w:p>
        </w:tc>
        <w:tc>
          <w:tcPr>
            <w:tcW w:w="18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67" w:hRule="atLeast"/>
        </w:trPr>
        <w:tc>
          <w:tcPr>
            <w:tcW w:w="67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仿宋" w:hAnsi="仿宋" w:eastAsia="仿宋" w:cs="仿宋"/>
                <w:i w:val="0"/>
                <w:color w:val="auto"/>
                <w:sz w:val="24"/>
                <w:szCs w:val="24"/>
                <w:u w:val="none"/>
              </w:rPr>
            </w:pPr>
          </w:p>
        </w:tc>
        <w:tc>
          <w:tcPr>
            <w:tcW w:w="706"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仿宋" w:hAnsi="仿宋" w:eastAsia="仿宋" w:cs="仿宋"/>
                <w:i w:val="0"/>
                <w:color w:val="auto"/>
                <w:sz w:val="24"/>
                <w:szCs w:val="24"/>
                <w:u w:val="none"/>
              </w:rPr>
            </w:pPr>
          </w:p>
        </w:tc>
        <w:tc>
          <w:tcPr>
            <w:tcW w:w="849" w:type="dxa"/>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时效指标（10分）</w:t>
            </w:r>
          </w:p>
        </w:tc>
        <w:tc>
          <w:tcPr>
            <w:tcW w:w="2421"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工资发放及时率（10分）</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100%</w:t>
            </w:r>
          </w:p>
        </w:tc>
        <w:tc>
          <w:tcPr>
            <w:tcW w:w="142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100%</w:t>
            </w:r>
          </w:p>
        </w:tc>
        <w:tc>
          <w:tcPr>
            <w:tcW w:w="18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0" w:hRule="atLeast"/>
        </w:trPr>
        <w:tc>
          <w:tcPr>
            <w:tcW w:w="67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仿宋" w:hAnsi="仿宋" w:eastAsia="仿宋" w:cs="仿宋"/>
                <w:i w:val="0"/>
                <w:color w:val="auto"/>
                <w:sz w:val="24"/>
                <w:szCs w:val="24"/>
                <w:u w:val="none"/>
              </w:rPr>
            </w:pPr>
          </w:p>
        </w:tc>
        <w:tc>
          <w:tcPr>
            <w:tcW w:w="706"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仿宋" w:hAnsi="仿宋" w:eastAsia="仿宋" w:cs="仿宋"/>
                <w:i w:val="0"/>
                <w:color w:val="auto"/>
                <w:sz w:val="24"/>
                <w:szCs w:val="24"/>
                <w:u w:val="none"/>
              </w:rPr>
            </w:pPr>
          </w:p>
        </w:tc>
        <w:tc>
          <w:tcPr>
            <w:tcW w:w="8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成本指标（8分）</w:t>
            </w:r>
          </w:p>
        </w:tc>
        <w:tc>
          <w:tcPr>
            <w:tcW w:w="2421"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新增固定资产值（8分）</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100万元</w:t>
            </w:r>
          </w:p>
        </w:tc>
        <w:tc>
          <w:tcPr>
            <w:tcW w:w="142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111.66万元</w:t>
            </w:r>
          </w:p>
        </w:tc>
        <w:tc>
          <w:tcPr>
            <w:tcW w:w="18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3" w:hRule="atLeast"/>
        </w:trPr>
        <w:tc>
          <w:tcPr>
            <w:tcW w:w="67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仿宋" w:hAnsi="仿宋" w:eastAsia="仿宋" w:cs="仿宋"/>
                <w:i w:val="0"/>
                <w:color w:val="auto"/>
                <w:sz w:val="24"/>
                <w:szCs w:val="24"/>
                <w:u w:val="none"/>
              </w:rPr>
            </w:pPr>
          </w:p>
        </w:tc>
        <w:tc>
          <w:tcPr>
            <w:tcW w:w="70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效益指标（30分）</w:t>
            </w:r>
          </w:p>
        </w:tc>
        <w:tc>
          <w:tcPr>
            <w:tcW w:w="84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社会效益指标（20分）</w:t>
            </w:r>
          </w:p>
        </w:tc>
        <w:tc>
          <w:tcPr>
            <w:tcW w:w="2421"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学生因贫失学率（6分）</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0%</w:t>
            </w:r>
          </w:p>
        </w:tc>
        <w:tc>
          <w:tcPr>
            <w:tcW w:w="142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0%</w:t>
            </w:r>
          </w:p>
        </w:tc>
        <w:tc>
          <w:tcPr>
            <w:tcW w:w="18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0" w:hRule="atLeast"/>
        </w:trPr>
        <w:tc>
          <w:tcPr>
            <w:tcW w:w="67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仿宋" w:hAnsi="仿宋" w:eastAsia="仿宋" w:cs="仿宋"/>
                <w:i w:val="0"/>
                <w:color w:val="auto"/>
                <w:sz w:val="24"/>
                <w:szCs w:val="24"/>
                <w:u w:val="none"/>
              </w:rPr>
            </w:pPr>
          </w:p>
        </w:tc>
        <w:tc>
          <w:tcPr>
            <w:tcW w:w="706"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仿宋" w:hAnsi="仿宋" w:eastAsia="仿宋" w:cs="仿宋"/>
                <w:i w:val="0"/>
                <w:color w:val="auto"/>
                <w:sz w:val="24"/>
                <w:szCs w:val="24"/>
                <w:u w:val="none"/>
              </w:rPr>
            </w:pPr>
          </w:p>
        </w:tc>
        <w:tc>
          <w:tcPr>
            <w:tcW w:w="84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仿宋" w:hAnsi="仿宋" w:eastAsia="仿宋" w:cs="仿宋"/>
                <w:i w:val="0"/>
                <w:color w:val="auto"/>
                <w:sz w:val="24"/>
                <w:szCs w:val="24"/>
                <w:u w:val="none"/>
              </w:rPr>
            </w:pPr>
          </w:p>
        </w:tc>
        <w:tc>
          <w:tcPr>
            <w:tcW w:w="2421"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开学期间安全事故数（6分）</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0</w:t>
            </w:r>
          </w:p>
        </w:tc>
        <w:tc>
          <w:tcPr>
            <w:tcW w:w="142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0</w:t>
            </w:r>
          </w:p>
        </w:tc>
        <w:tc>
          <w:tcPr>
            <w:tcW w:w="18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3" w:hRule="atLeast"/>
        </w:trPr>
        <w:tc>
          <w:tcPr>
            <w:tcW w:w="67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仿宋" w:hAnsi="仿宋" w:eastAsia="仿宋" w:cs="仿宋"/>
                <w:i w:val="0"/>
                <w:color w:val="auto"/>
                <w:sz w:val="24"/>
                <w:szCs w:val="24"/>
                <w:u w:val="none"/>
              </w:rPr>
            </w:pPr>
          </w:p>
        </w:tc>
        <w:tc>
          <w:tcPr>
            <w:tcW w:w="706"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仿宋" w:hAnsi="仿宋" w:eastAsia="仿宋" w:cs="仿宋"/>
                <w:i w:val="0"/>
                <w:color w:val="auto"/>
                <w:sz w:val="24"/>
                <w:szCs w:val="24"/>
                <w:u w:val="none"/>
              </w:rPr>
            </w:pPr>
          </w:p>
        </w:tc>
        <w:tc>
          <w:tcPr>
            <w:tcW w:w="84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仿宋" w:hAnsi="仿宋" w:eastAsia="仿宋" w:cs="仿宋"/>
                <w:i w:val="0"/>
                <w:color w:val="auto"/>
                <w:sz w:val="24"/>
                <w:szCs w:val="24"/>
                <w:u w:val="none"/>
              </w:rPr>
            </w:pPr>
          </w:p>
        </w:tc>
        <w:tc>
          <w:tcPr>
            <w:tcW w:w="2421"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学龄人口入学率（8分）</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100%</w:t>
            </w:r>
          </w:p>
        </w:tc>
        <w:tc>
          <w:tcPr>
            <w:tcW w:w="142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100%</w:t>
            </w:r>
          </w:p>
        </w:tc>
        <w:tc>
          <w:tcPr>
            <w:tcW w:w="18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67" w:hRule="atLeast"/>
        </w:trPr>
        <w:tc>
          <w:tcPr>
            <w:tcW w:w="67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仿宋" w:hAnsi="仿宋" w:eastAsia="仿宋" w:cs="仿宋"/>
                <w:i w:val="0"/>
                <w:color w:val="auto"/>
                <w:sz w:val="24"/>
                <w:szCs w:val="24"/>
                <w:u w:val="none"/>
              </w:rPr>
            </w:pPr>
          </w:p>
        </w:tc>
        <w:tc>
          <w:tcPr>
            <w:tcW w:w="706"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仿宋" w:hAnsi="仿宋" w:eastAsia="仿宋" w:cs="仿宋"/>
                <w:i w:val="0"/>
                <w:color w:val="auto"/>
                <w:sz w:val="24"/>
                <w:szCs w:val="24"/>
                <w:u w:val="none"/>
              </w:rPr>
            </w:pPr>
          </w:p>
        </w:tc>
        <w:tc>
          <w:tcPr>
            <w:tcW w:w="8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生态效益指标（10分）</w:t>
            </w:r>
          </w:p>
        </w:tc>
        <w:tc>
          <w:tcPr>
            <w:tcW w:w="2421"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校园环境（10分）</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良好</w:t>
            </w:r>
          </w:p>
        </w:tc>
        <w:tc>
          <w:tcPr>
            <w:tcW w:w="142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良好</w:t>
            </w:r>
          </w:p>
        </w:tc>
        <w:tc>
          <w:tcPr>
            <w:tcW w:w="18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44" w:hRule="atLeast"/>
        </w:trPr>
        <w:tc>
          <w:tcPr>
            <w:tcW w:w="67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仿宋" w:hAnsi="仿宋" w:eastAsia="仿宋" w:cs="仿宋"/>
                <w:i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满意度指标（10分）</w:t>
            </w:r>
          </w:p>
        </w:tc>
        <w:tc>
          <w:tcPr>
            <w:tcW w:w="8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满意度指标（10分）</w:t>
            </w:r>
          </w:p>
        </w:tc>
        <w:tc>
          <w:tcPr>
            <w:tcW w:w="2421"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师生满意度（%）（10分）</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≥90%</w:t>
            </w:r>
          </w:p>
        </w:tc>
        <w:tc>
          <w:tcPr>
            <w:tcW w:w="142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≥90%</w:t>
            </w:r>
          </w:p>
        </w:tc>
        <w:tc>
          <w:tcPr>
            <w:tcW w:w="18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3" w:hRule="atLeast"/>
        </w:trPr>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总分</w:t>
            </w:r>
          </w:p>
        </w:tc>
        <w:tc>
          <w:tcPr>
            <w:tcW w:w="8361" w:type="dxa"/>
            <w:gridSpan w:val="9"/>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100分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67" w:hRule="atLeast"/>
        </w:trPr>
        <w:tc>
          <w:tcPr>
            <w:tcW w:w="138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偏差大或目标未完成原因分析</w:t>
            </w:r>
          </w:p>
        </w:tc>
        <w:tc>
          <w:tcPr>
            <w:tcW w:w="7655" w:type="dxa"/>
            <w:gridSpan w:val="8"/>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left"/>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 xml:space="preserve">                                  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430" w:hRule="atLeast"/>
        </w:trPr>
        <w:tc>
          <w:tcPr>
            <w:tcW w:w="138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改进措施及  结果应用方案</w:t>
            </w:r>
          </w:p>
        </w:tc>
        <w:tc>
          <w:tcPr>
            <w:tcW w:w="7655" w:type="dxa"/>
            <w:gridSpan w:val="8"/>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left"/>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1）根据通过绩效自评显示部门在绩效目标设定、绩效目标管理中存的问题，组织各部门相关人员展开专项研讨会，并根据会议要求制定部门整体及项目绩效管理办法并组织实施，提高部门整体绩效目标合理性和可考核性。（2）对部门整体绩效目标和项目标实施动态监控管理，及时发现绩效目偏离的原因并采取相应的措施。</w:t>
            </w:r>
          </w:p>
        </w:tc>
      </w:tr>
    </w:tbl>
    <w:p>
      <w:pPr>
        <w:rPr>
          <w:rFonts w:hint="eastAsia"/>
          <w:color w:val="000000" w:themeColor="text1"/>
          <w14:textFill>
            <w14:solidFill>
              <w14:schemeClr w14:val="tx1"/>
            </w14:solidFill>
          </w14:textFill>
        </w:rPr>
      </w:pPr>
    </w:p>
    <w:sectPr>
      <w:footerReference r:id="rId4" w:type="default"/>
      <w:type w:val="continuous"/>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FangSong_GB2312">
    <w:altName w:val="仿宋_GB2312"/>
    <w:panose1 w:val="02010609060101010101"/>
    <w:charset w:val="86"/>
    <w:family w:val="roman"/>
    <w:pitch w:val="default"/>
    <w:sig w:usb0="00000000" w:usb1="00000000" w:usb2="00000016" w:usb3="00000000" w:csb0="00040001" w:csb1="00000000"/>
  </w:font>
  <w:font w:name="华文楷体">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1" name="文本框 4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Aj35coBAACdAwAADgAAAGRycy9lMm9Eb2MueG1srVPNjtMwEL4j8Q6W&#10;79Rph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OvlkhLHLY788v3b5cevy8+v&#10;JDtRoj5AjZkPAXPTcOcHXJzZD+jMzAcVbf4iJ4JxFPh8FVgOiYj8aL1arysMCYzNF8Rnj89DhPRW&#10;ekuy0dCIEyzC8tN7SGPqnJKrOX+vjSlTNO4vB2JmD8u9jz1mKw37YSK09+0Z+fQ4/IY63HVKzDuH&#10;2uY9mY04G/vZOIaoD11ZpFwPwu0xYROlt1xhhJ0K49QKu2nD8lr8eS9Zj3/V9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CAj35coBAACdAwAADgAAAAAAAAABACAAAAAeAQAAZHJzL2Uyb0Rv&#10;Yy54bWxQSwUGAAAAAAYABgBZAQAAWgUAAAAA&#10;">
              <v:fill on="f" focussize="0,0"/>
              <v:stroke on="f"/>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4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PkfQ3coBAACcAwAADgAAAAAAAAABACAAAAAeAQAAZHJzL2Uyb0Rv&#10;Yy54bWxQSwUGAAAAAAYABgBZAQAAWgUAAAAA&#10;">
              <v:fill on="f" focussize="0,0"/>
              <v:stroke on="f"/>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57A253"/>
    <w:multiLevelType w:val="singleLevel"/>
    <w:tmpl w:val="AB57A253"/>
    <w:lvl w:ilvl="0" w:tentative="0">
      <w:start w:val="2"/>
      <w:numFmt w:val="chineseCounting"/>
      <w:suff w:val="nothing"/>
      <w:lvlText w:val="%1、"/>
      <w:lvlJc w:val="left"/>
      <w:rPr>
        <w:rFonts w:hint="eastAsia"/>
      </w:rPr>
    </w:lvl>
  </w:abstractNum>
  <w:abstractNum w:abstractNumId="1">
    <w:nsid w:val="DE38D86F"/>
    <w:multiLevelType w:val="singleLevel"/>
    <w:tmpl w:val="DE38D86F"/>
    <w:lvl w:ilvl="0" w:tentative="0">
      <w:start w:val="1"/>
      <w:numFmt w:val="chineseCounting"/>
      <w:suff w:val="space"/>
      <w:lvlText w:val="第%1部分"/>
      <w:lvlJc w:val="left"/>
      <w:rPr>
        <w:rFonts w:hint="eastAsia"/>
      </w:rPr>
    </w:lvl>
  </w:abstractNum>
  <w:abstractNum w:abstractNumId="2">
    <w:nsid w:val="016FF08E"/>
    <w:multiLevelType w:val="singleLevel"/>
    <w:tmpl w:val="016FF08E"/>
    <w:lvl w:ilvl="0" w:tentative="0">
      <w:start w:val="4"/>
      <w:numFmt w:val="chineseCounting"/>
      <w:suff w:val="space"/>
      <w:lvlText w:val="第%1部分"/>
      <w:lvlJc w:val="left"/>
      <w:rPr>
        <w:rFonts w:hint="eastAsia"/>
      </w:rPr>
    </w:lvl>
  </w:abstractNum>
  <w:abstractNum w:abstractNumId="3">
    <w:nsid w:val="09B02F77"/>
    <w:multiLevelType w:val="singleLevel"/>
    <w:tmpl w:val="09B02F77"/>
    <w:lvl w:ilvl="0" w:tentative="0">
      <w:start w:val="9"/>
      <w:numFmt w:val="chineseCounting"/>
      <w:suff w:val="nothing"/>
      <w:lvlText w:val="%1、"/>
      <w:lvlJc w:val="left"/>
      <w:rPr>
        <w:rFonts w:hint="eastAsia"/>
      </w:rPr>
    </w:lvl>
  </w:abstractNum>
  <w:abstractNum w:abstractNumId="4">
    <w:nsid w:val="0CC0EB5B"/>
    <w:multiLevelType w:val="singleLevel"/>
    <w:tmpl w:val="0CC0EB5B"/>
    <w:lvl w:ilvl="0" w:tentative="0">
      <w:start w:val="1"/>
      <w:numFmt w:val="chineseCounting"/>
      <w:suff w:val="nothing"/>
      <w:lvlText w:val="%1、"/>
      <w:lvlJc w:val="left"/>
      <w:rPr>
        <w:rFonts w:hint="eastAsia"/>
      </w:rPr>
    </w:lvl>
  </w:abstractNum>
  <w:abstractNum w:abstractNumId="5">
    <w:nsid w:val="6F38A5E2"/>
    <w:multiLevelType w:val="singleLevel"/>
    <w:tmpl w:val="6F38A5E2"/>
    <w:lvl w:ilvl="0" w:tentative="0">
      <w:start w:val="2"/>
      <w:numFmt w:val="chineseCounting"/>
      <w:suff w:val="nothing"/>
      <w:lvlText w:val="%1、"/>
      <w:lvlJc w:val="left"/>
      <w:rPr>
        <w:rFonts w:hint="eastAsia"/>
      </w:rPr>
    </w:lvl>
  </w:abstractNum>
  <w:num w:numId="1">
    <w:abstractNumId w:val="1"/>
  </w:num>
  <w:num w:numId="2">
    <w:abstractNumId w:val="4"/>
  </w:num>
  <w:num w:numId="3">
    <w:abstractNumId w:val="0"/>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Q0ZmNjYWU4MDUxMWJlMjYwYmQ1ZDA0ZDg1OWYxMzMifQ=="/>
    <w:docVar w:name="KSO_WPS_MARK_KEY" w:val="b97f0129-655b-4a4a-9d04-62a635322071"/>
  </w:docVars>
  <w:rsids>
    <w:rsidRoot w:val="5C1B65AF"/>
    <w:rsid w:val="000A7256"/>
    <w:rsid w:val="000B4C4A"/>
    <w:rsid w:val="002269DF"/>
    <w:rsid w:val="0024221D"/>
    <w:rsid w:val="002E3EB8"/>
    <w:rsid w:val="00313B07"/>
    <w:rsid w:val="007617F8"/>
    <w:rsid w:val="0076527B"/>
    <w:rsid w:val="0081691B"/>
    <w:rsid w:val="0083372D"/>
    <w:rsid w:val="008D70C7"/>
    <w:rsid w:val="0091635A"/>
    <w:rsid w:val="0099023E"/>
    <w:rsid w:val="00990C71"/>
    <w:rsid w:val="00996F42"/>
    <w:rsid w:val="00B970DB"/>
    <w:rsid w:val="00BB3433"/>
    <w:rsid w:val="00C31545"/>
    <w:rsid w:val="00C34E7A"/>
    <w:rsid w:val="00CD2579"/>
    <w:rsid w:val="00D03026"/>
    <w:rsid w:val="00D05231"/>
    <w:rsid w:val="00D64155"/>
    <w:rsid w:val="00FC54F1"/>
    <w:rsid w:val="011949CD"/>
    <w:rsid w:val="018362EB"/>
    <w:rsid w:val="029D6C50"/>
    <w:rsid w:val="03432E87"/>
    <w:rsid w:val="03830824"/>
    <w:rsid w:val="045B5C8F"/>
    <w:rsid w:val="0490078A"/>
    <w:rsid w:val="04BF3ADE"/>
    <w:rsid w:val="050A5D92"/>
    <w:rsid w:val="06177820"/>
    <w:rsid w:val="06510766"/>
    <w:rsid w:val="07226090"/>
    <w:rsid w:val="07387524"/>
    <w:rsid w:val="073D7ECA"/>
    <w:rsid w:val="07B42210"/>
    <w:rsid w:val="07CC09EB"/>
    <w:rsid w:val="07D93108"/>
    <w:rsid w:val="08317356"/>
    <w:rsid w:val="0849203C"/>
    <w:rsid w:val="0862625C"/>
    <w:rsid w:val="08C32889"/>
    <w:rsid w:val="08E62239"/>
    <w:rsid w:val="0A1B5D5B"/>
    <w:rsid w:val="0AC91212"/>
    <w:rsid w:val="0AC96619"/>
    <w:rsid w:val="0B17661E"/>
    <w:rsid w:val="0BA03D67"/>
    <w:rsid w:val="0BE16859"/>
    <w:rsid w:val="0C344DB1"/>
    <w:rsid w:val="0C491AFC"/>
    <w:rsid w:val="0C9615C8"/>
    <w:rsid w:val="0CE961FE"/>
    <w:rsid w:val="0CFF0F1B"/>
    <w:rsid w:val="0D4E6D02"/>
    <w:rsid w:val="0DB8556E"/>
    <w:rsid w:val="0DDC74AE"/>
    <w:rsid w:val="0DFE5677"/>
    <w:rsid w:val="0E3B6B17"/>
    <w:rsid w:val="0E4A385B"/>
    <w:rsid w:val="0E6C337F"/>
    <w:rsid w:val="0F8E7511"/>
    <w:rsid w:val="0F970B12"/>
    <w:rsid w:val="104071C7"/>
    <w:rsid w:val="10493C24"/>
    <w:rsid w:val="104A1EC3"/>
    <w:rsid w:val="108F3192"/>
    <w:rsid w:val="10A90A81"/>
    <w:rsid w:val="10B14AEE"/>
    <w:rsid w:val="114F1D45"/>
    <w:rsid w:val="118B76E7"/>
    <w:rsid w:val="118D2671"/>
    <w:rsid w:val="121744BD"/>
    <w:rsid w:val="127C2605"/>
    <w:rsid w:val="1292391F"/>
    <w:rsid w:val="12BE53D5"/>
    <w:rsid w:val="13BD568C"/>
    <w:rsid w:val="13D1111F"/>
    <w:rsid w:val="13E76BAD"/>
    <w:rsid w:val="13F25B5D"/>
    <w:rsid w:val="1448764C"/>
    <w:rsid w:val="15A850CE"/>
    <w:rsid w:val="15D719AB"/>
    <w:rsid w:val="16092BEB"/>
    <w:rsid w:val="16534086"/>
    <w:rsid w:val="16F21AF1"/>
    <w:rsid w:val="1726179A"/>
    <w:rsid w:val="1752258F"/>
    <w:rsid w:val="175E6327"/>
    <w:rsid w:val="177A316C"/>
    <w:rsid w:val="17A32DEB"/>
    <w:rsid w:val="17C7536A"/>
    <w:rsid w:val="17E05DED"/>
    <w:rsid w:val="17EB2CAB"/>
    <w:rsid w:val="18351C95"/>
    <w:rsid w:val="196528B4"/>
    <w:rsid w:val="198527A8"/>
    <w:rsid w:val="1AE300CE"/>
    <w:rsid w:val="1B081D2E"/>
    <w:rsid w:val="1C2838BF"/>
    <w:rsid w:val="1C8036FB"/>
    <w:rsid w:val="1C9D605B"/>
    <w:rsid w:val="1CB937F4"/>
    <w:rsid w:val="1DFD2CC8"/>
    <w:rsid w:val="1E2A7DC2"/>
    <w:rsid w:val="1E66224F"/>
    <w:rsid w:val="1F4F1940"/>
    <w:rsid w:val="1FB20102"/>
    <w:rsid w:val="1FC915DB"/>
    <w:rsid w:val="202F16C0"/>
    <w:rsid w:val="20847378"/>
    <w:rsid w:val="20DB53A4"/>
    <w:rsid w:val="20FC47FA"/>
    <w:rsid w:val="2113746A"/>
    <w:rsid w:val="21A97250"/>
    <w:rsid w:val="222D61F4"/>
    <w:rsid w:val="222F0206"/>
    <w:rsid w:val="22D53723"/>
    <w:rsid w:val="23517B9F"/>
    <w:rsid w:val="24012E0C"/>
    <w:rsid w:val="24305B14"/>
    <w:rsid w:val="24A16CCC"/>
    <w:rsid w:val="25440C67"/>
    <w:rsid w:val="25553977"/>
    <w:rsid w:val="25951FC5"/>
    <w:rsid w:val="25A77F4A"/>
    <w:rsid w:val="25BA5ED0"/>
    <w:rsid w:val="26040D98"/>
    <w:rsid w:val="261912C4"/>
    <w:rsid w:val="265A217E"/>
    <w:rsid w:val="26B96187"/>
    <w:rsid w:val="26C863CA"/>
    <w:rsid w:val="27A34083"/>
    <w:rsid w:val="27FD20A3"/>
    <w:rsid w:val="28C028DC"/>
    <w:rsid w:val="28ED431D"/>
    <w:rsid w:val="29106FFC"/>
    <w:rsid w:val="294206B6"/>
    <w:rsid w:val="2A992557"/>
    <w:rsid w:val="2AD10F26"/>
    <w:rsid w:val="2B2377DC"/>
    <w:rsid w:val="2B960845"/>
    <w:rsid w:val="2C104278"/>
    <w:rsid w:val="2C2E3173"/>
    <w:rsid w:val="2C6C00EC"/>
    <w:rsid w:val="2C9F1EF8"/>
    <w:rsid w:val="2D6A6CF3"/>
    <w:rsid w:val="2D742E08"/>
    <w:rsid w:val="2D822A89"/>
    <w:rsid w:val="2D9C5EBB"/>
    <w:rsid w:val="2D9E7E85"/>
    <w:rsid w:val="2E861045"/>
    <w:rsid w:val="2EAE2349"/>
    <w:rsid w:val="2EDA20D4"/>
    <w:rsid w:val="2F4205E0"/>
    <w:rsid w:val="2F854E58"/>
    <w:rsid w:val="2F860110"/>
    <w:rsid w:val="2F8F1C6C"/>
    <w:rsid w:val="304E16EE"/>
    <w:rsid w:val="30732EA5"/>
    <w:rsid w:val="311F4763"/>
    <w:rsid w:val="312046CF"/>
    <w:rsid w:val="31794E91"/>
    <w:rsid w:val="31D65E3F"/>
    <w:rsid w:val="32090B9F"/>
    <w:rsid w:val="325A238C"/>
    <w:rsid w:val="32611DF8"/>
    <w:rsid w:val="332D2B06"/>
    <w:rsid w:val="33665B87"/>
    <w:rsid w:val="338B5DC3"/>
    <w:rsid w:val="33A551D8"/>
    <w:rsid w:val="33AA1331"/>
    <w:rsid w:val="3402436F"/>
    <w:rsid w:val="351D5B33"/>
    <w:rsid w:val="35281D27"/>
    <w:rsid w:val="352F4E8F"/>
    <w:rsid w:val="35812566"/>
    <w:rsid w:val="35AB1EAB"/>
    <w:rsid w:val="35BA0B48"/>
    <w:rsid w:val="35D07049"/>
    <w:rsid w:val="35D72186"/>
    <w:rsid w:val="36117E58"/>
    <w:rsid w:val="36164116"/>
    <w:rsid w:val="363D7038"/>
    <w:rsid w:val="36EE59D9"/>
    <w:rsid w:val="370C7607"/>
    <w:rsid w:val="376C18B5"/>
    <w:rsid w:val="37905FB3"/>
    <w:rsid w:val="379245B6"/>
    <w:rsid w:val="383B11F0"/>
    <w:rsid w:val="388363EB"/>
    <w:rsid w:val="3A1852BD"/>
    <w:rsid w:val="3A9819B5"/>
    <w:rsid w:val="3AB62E5E"/>
    <w:rsid w:val="3AB962FE"/>
    <w:rsid w:val="3B3D0CDD"/>
    <w:rsid w:val="3BB30F9F"/>
    <w:rsid w:val="3D4829ED"/>
    <w:rsid w:val="3D5C33CC"/>
    <w:rsid w:val="3DC01751"/>
    <w:rsid w:val="3DF216B6"/>
    <w:rsid w:val="3E9E5F37"/>
    <w:rsid w:val="3ED71449"/>
    <w:rsid w:val="3F2E40A3"/>
    <w:rsid w:val="3F7C66EB"/>
    <w:rsid w:val="40216ABA"/>
    <w:rsid w:val="40833636"/>
    <w:rsid w:val="408F17C8"/>
    <w:rsid w:val="40E86EBC"/>
    <w:rsid w:val="412D70FE"/>
    <w:rsid w:val="428B5D2C"/>
    <w:rsid w:val="43087E22"/>
    <w:rsid w:val="437A001C"/>
    <w:rsid w:val="437F7705"/>
    <w:rsid w:val="439711A6"/>
    <w:rsid w:val="43AC2EA4"/>
    <w:rsid w:val="43DB1971"/>
    <w:rsid w:val="447A2376"/>
    <w:rsid w:val="449C4CC6"/>
    <w:rsid w:val="45877724"/>
    <w:rsid w:val="458A0FC3"/>
    <w:rsid w:val="46517D32"/>
    <w:rsid w:val="483E14B1"/>
    <w:rsid w:val="487F110D"/>
    <w:rsid w:val="48EB7FCA"/>
    <w:rsid w:val="49997A26"/>
    <w:rsid w:val="49E35145"/>
    <w:rsid w:val="4A325785"/>
    <w:rsid w:val="4A34774F"/>
    <w:rsid w:val="4AA76173"/>
    <w:rsid w:val="4ADD1B95"/>
    <w:rsid w:val="4BF47196"/>
    <w:rsid w:val="4C031A65"/>
    <w:rsid w:val="4C211F55"/>
    <w:rsid w:val="4CD963E0"/>
    <w:rsid w:val="4CDC5486"/>
    <w:rsid w:val="4CF727ED"/>
    <w:rsid w:val="4D5508D8"/>
    <w:rsid w:val="4EA84268"/>
    <w:rsid w:val="4F11005F"/>
    <w:rsid w:val="4F2F51D9"/>
    <w:rsid w:val="4F8847C5"/>
    <w:rsid w:val="4FC46AED"/>
    <w:rsid w:val="4FE9347C"/>
    <w:rsid w:val="50E569D8"/>
    <w:rsid w:val="527B23BF"/>
    <w:rsid w:val="52BF7E19"/>
    <w:rsid w:val="541505F1"/>
    <w:rsid w:val="54827C1C"/>
    <w:rsid w:val="54A92AE8"/>
    <w:rsid w:val="54BE6593"/>
    <w:rsid w:val="54C65448"/>
    <w:rsid w:val="553D45F4"/>
    <w:rsid w:val="55482300"/>
    <w:rsid w:val="55915A56"/>
    <w:rsid w:val="56075D18"/>
    <w:rsid w:val="562B360A"/>
    <w:rsid w:val="563805C7"/>
    <w:rsid w:val="56625644"/>
    <w:rsid w:val="56816FF2"/>
    <w:rsid w:val="568832FC"/>
    <w:rsid w:val="568B06F7"/>
    <w:rsid w:val="56E00E36"/>
    <w:rsid w:val="57106C51"/>
    <w:rsid w:val="573A501E"/>
    <w:rsid w:val="57CF0AB7"/>
    <w:rsid w:val="58465AE7"/>
    <w:rsid w:val="58883051"/>
    <w:rsid w:val="589938ED"/>
    <w:rsid w:val="58CF5213"/>
    <w:rsid w:val="591C5F7E"/>
    <w:rsid w:val="59814033"/>
    <w:rsid w:val="598B654E"/>
    <w:rsid w:val="59C951A3"/>
    <w:rsid w:val="5B2E6808"/>
    <w:rsid w:val="5C0A29EA"/>
    <w:rsid w:val="5C1B65AF"/>
    <w:rsid w:val="5C3A404B"/>
    <w:rsid w:val="5C525663"/>
    <w:rsid w:val="5C9D7C82"/>
    <w:rsid w:val="5CE768A3"/>
    <w:rsid w:val="5DCB0D08"/>
    <w:rsid w:val="5E6D138C"/>
    <w:rsid w:val="5EB033E6"/>
    <w:rsid w:val="5ED66BCF"/>
    <w:rsid w:val="5F183083"/>
    <w:rsid w:val="5FCA6734"/>
    <w:rsid w:val="600B5999"/>
    <w:rsid w:val="605B738C"/>
    <w:rsid w:val="60ED4D66"/>
    <w:rsid w:val="610B7004"/>
    <w:rsid w:val="61686204"/>
    <w:rsid w:val="616D5358"/>
    <w:rsid w:val="617A2F76"/>
    <w:rsid w:val="618B3CA1"/>
    <w:rsid w:val="61A55362"/>
    <w:rsid w:val="61AA3FFD"/>
    <w:rsid w:val="62126170"/>
    <w:rsid w:val="62173786"/>
    <w:rsid w:val="62210161"/>
    <w:rsid w:val="62E56250"/>
    <w:rsid w:val="630A04A3"/>
    <w:rsid w:val="63E23270"/>
    <w:rsid w:val="64236413"/>
    <w:rsid w:val="649C4670"/>
    <w:rsid w:val="64BF4295"/>
    <w:rsid w:val="657038D9"/>
    <w:rsid w:val="65EB11B2"/>
    <w:rsid w:val="66244C4A"/>
    <w:rsid w:val="66497E88"/>
    <w:rsid w:val="66776E71"/>
    <w:rsid w:val="667A11CE"/>
    <w:rsid w:val="6748602A"/>
    <w:rsid w:val="67754F4E"/>
    <w:rsid w:val="67922334"/>
    <w:rsid w:val="68882CE8"/>
    <w:rsid w:val="68E12EE5"/>
    <w:rsid w:val="69521CCC"/>
    <w:rsid w:val="69547AAA"/>
    <w:rsid w:val="69951B60"/>
    <w:rsid w:val="69DB086B"/>
    <w:rsid w:val="6A58493C"/>
    <w:rsid w:val="6A8901DF"/>
    <w:rsid w:val="6A9A31A7"/>
    <w:rsid w:val="6ADE3093"/>
    <w:rsid w:val="6AE508C6"/>
    <w:rsid w:val="6BBE1D8E"/>
    <w:rsid w:val="6BDD77EF"/>
    <w:rsid w:val="6C465394"/>
    <w:rsid w:val="6C815F19"/>
    <w:rsid w:val="6D9952C5"/>
    <w:rsid w:val="6DD568F5"/>
    <w:rsid w:val="6E635092"/>
    <w:rsid w:val="6EAA1FE1"/>
    <w:rsid w:val="6EF03395"/>
    <w:rsid w:val="6F353423"/>
    <w:rsid w:val="6FB071C6"/>
    <w:rsid w:val="6FCA0CD1"/>
    <w:rsid w:val="70D0378B"/>
    <w:rsid w:val="70FA04FB"/>
    <w:rsid w:val="71F87130"/>
    <w:rsid w:val="722B3D66"/>
    <w:rsid w:val="72372731"/>
    <w:rsid w:val="724D0AFE"/>
    <w:rsid w:val="727442DD"/>
    <w:rsid w:val="728C2BE3"/>
    <w:rsid w:val="734B5807"/>
    <w:rsid w:val="73644352"/>
    <w:rsid w:val="74015DEF"/>
    <w:rsid w:val="741B5358"/>
    <w:rsid w:val="74485A21"/>
    <w:rsid w:val="746D7236"/>
    <w:rsid w:val="74DC5D3A"/>
    <w:rsid w:val="75355FA6"/>
    <w:rsid w:val="759C7DD3"/>
    <w:rsid w:val="767141DA"/>
    <w:rsid w:val="769F4AED"/>
    <w:rsid w:val="76CD220E"/>
    <w:rsid w:val="77862AE9"/>
    <w:rsid w:val="77A15B74"/>
    <w:rsid w:val="77BF249E"/>
    <w:rsid w:val="77CF688C"/>
    <w:rsid w:val="77DD4B30"/>
    <w:rsid w:val="78153D46"/>
    <w:rsid w:val="78722BB8"/>
    <w:rsid w:val="78827F2F"/>
    <w:rsid w:val="788811F7"/>
    <w:rsid w:val="78A31478"/>
    <w:rsid w:val="78E977D3"/>
    <w:rsid w:val="79870FBA"/>
    <w:rsid w:val="79E80849"/>
    <w:rsid w:val="7A471432"/>
    <w:rsid w:val="7AAD65DE"/>
    <w:rsid w:val="7AAF657E"/>
    <w:rsid w:val="7B782463"/>
    <w:rsid w:val="7B8116B5"/>
    <w:rsid w:val="7BA619AB"/>
    <w:rsid w:val="7BCE0F02"/>
    <w:rsid w:val="7C9E59AB"/>
    <w:rsid w:val="7CD24A22"/>
    <w:rsid w:val="7D083FA0"/>
    <w:rsid w:val="7D423956"/>
    <w:rsid w:val="7D473136"/>
    <w:rsid w:val="7D4E22FA"/>
    <w:rsid w:val="7D5232CA"/>
    <w:rsid w:val="7E355268"/>
    <w:rsid w:val="7EDC5BBB"/>
    <w:rsid w:val="7EF85ACD"/>
    <w:rsid w:val="7F3D2627"/>
    <w:rsid w:val="7F571298"/>
    <w:rsid w:val="7F582FCD"/>
    <w:rsid w:val="7F9D131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qFormat="1" w:uiPriority="99"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3"/>
    <w:basedOn w:val="3"/>
    <w:next w:val="3"/>
    <w:unhideWhenUsed/>
    <w:qFormat/>
    <w:uiPriority w:val="9"/>
    <w:pPr>
      <w:keepNext/>
      <w:keepLines/>
      <w:spacing w:before="260" w:after="260" w:line="416" w:lineRule="auto"/>
      <w:outlineLvl w:val="2"/>
    </w:pPr>
    <w:rPr>
      <w:b/>
      <w:bCs/>
      <w:sz w:val="32"/>
      <w:szCs w:val="32"/>
    </w:rPr>
  </w:style>
  <w:style w:type="character" w:default="1" w:styleId="9">
    <w:name w:val="Default Paragraph Font"/>
    <w:unhideWhenUsed/>
    <w:qFormat/>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styleId="3">
    <w:name w:val="table of authorities"/>
    <w:basedOn w:val="1"/>
    <w:next w:val="1"/>
    <w:unhideWhenUsed/>
    <w:qFormat/>
    <w:uiPriority w:val="99"/>
    <w:pPr>
      <w:ind w:left="200" w:leftChars="20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unhideWhenUsed/>
    <w:qFormat/>
    <w:uiPriority w:val="99"/>
    <w:pPr>
      <w:spacing w:before="100" w:beforeAutospacing="1" w:after="100" w:afterAutospacing="1"/>
      <w:ind w:left="0" w:right="0"/>
      <w:jc w:val="left"/>
    </w:pPr>
    <w:rPr>
      <w:kern w:val="0"/>
      <w:sz w:val="24"/>
      <w:lang w:val="en-US" w:eastAsia="zh-CN" w:bidi="ar"/>
    </w:rPr>
  </w:style>
  <w:style w:type="table" w:styleId="8">
    <w:name w:val="Table Grid"/>
    <w:basedOn w:val="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paragraph" w:customStyle="1" w:styleId="11">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
    <w:name w:val="正文缩进 + 首行缩进:  2 字符"/>
    <w:basedOn w:val="1"/>
    <w:qFormat/>
    <w:uiPriority w:val="0"/>
    <w:pPr>
      <w:spacing w:line="560" w:lineRule="exact"/>
      <w:ind w:firstLine="640"/>
    </w:pPr>
    <w:rPr>
      <w:rFonts w:ascii="仿宋" w:hAnsi="仿宋" w:eastAsia="仿宋" w:cs="宋体"/>
      <w:sz w:val="32"/>
      <w:szCs w:val="20"/>
    </w:rPr>
  </w:style>
  <w:style w:type="paragraph" w:customStyle="1" w:styleId="13">
    <w:name w:val="Default"/>
    <w:qFormat/>
    <w:uiPriority w:val="0"/>
    <w:pPr>
      <w:widowControl w:val="0"/>
      <w:autoSpaceDE w:val="0"/>
      <w:autoSpaceDN w:val="0"/>
      <w:adjustRightInd w:val="0"/>
    </w:pPr>
    <w:rPr>
      <w:rFonts w:ascii="FangSong_GB2312" w:hAnsi="Times New Roman" w:eastAsia="FangSong_GB2312" w:cs="FangSong_GB2312"/>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9831</Words>
  <Characters>10730</Characters>
  <Lines>30</Lines>
  <Paragraphs>8</Paragraphs>
  <TotalTime>2</TotalTime>
  <ScaleCrop>false</ScaleCrop>
  <LinksUpToDate>false</LinksUpToDate>
  <CharactersWithSpaces>10838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2023-10-06T03:50:00Z</dcterms:created>
  <dc:creator>阿红</dc:creator>
  <cp:lastModifiedBy>Administrator</cp:lastModifiedBy>
  <cp:lastPrinted>2023-10-12T08:50:00Z</cp:lastPrinted>
  <dcterms:modified xsi:type="dcterms:W3CDTF">2024-08-08T11:47:05Z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8383518B7C944161BD638CD2D60A48F8_11</vt:lpwstr>
  </property>
</Properties>
</file>