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附件2</w:t>
      </w:r>
    </w:p>
    <w:tbl>
      <w:tblPr>
        <w:tblStyle w:val="3"/>
        <w:tblW w:w="100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9"/>
        <w:gridCol w:w="1015"/>
        <w:gridCol w:w="1198"/>
        <w:gridCol w:w="1653"/>
        <w:gridCol w:w="1869"/>
        <w:gridCol w:w="1115"/>
        <w:gridCol w:w="145"/>
        <w:gridCol w:w="969"/>
        <w:gridCol w:w="151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0020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34"/>
                <w:szCs w:val="34"/>
              </w:rPr>
            </w:pPr>
            <w:r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34"/>
                <w:szCs w:val="34"/>
                <w:lang w:val="en-US" w:eastAsia="zh-CN"/>
              </w:rPr>
              <w:t>崇阳县</w:t>
            </w:r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34"/>
                <w:szCs w:val="34"/>
              </w:rPr>
              <w:t>转移支付区域（项目）绩效目标自评表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0020" w:type="dxa"/>
            <w:gridSpan w:val="9"/>
            <w:tcBorders>
              <w:bottom w:val="single" w:color="000000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hd w:val="clear" w:color="auto" w:fill="FFFFFF"/>
              </w:rPr>
              <w:t>202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shd w:val="clear" w:color="auto" w:fill="FFFFFF"/>
              </w:rPr>
              <w:t>年度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转移支付（项目）名称</w:t>
            </w:r>
          </w:p>
        </w:tc>
        <w:tc>
          <w:tcPr>
            <w:tcW w:w="72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崇阳县2023年度高标准农田建设项目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中央主管部门</w:t>
            </w:r>
          </w:p>
        </w:tc>
        <w:tc>
          <w:tcPr>
            <w:tcW w:w="72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农业农村部、财政部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地方主管部门</w:t>
            </w:r>
          </w:p>
        </w:tc>
        <w:tc>
          <w:tcPr>
            <w:tcW w:w="3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湖北省农业农村厅、财政厅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资金使用单位</w:t>
            </w:r>
          </w:p>
        </w:tc>
        <w:tc>
          <w:tcPr>
            <w:tcW w:w="2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崇阳县农业农村局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275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eastAsia="zh-CN"/>
              </w:rPr>
              <w:t>资金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投入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eastAsia="zh-CN"/>
              </w:rPr>
              <w:t>情况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shd w:val="clear" w:color="auto" w:fill="FFFFFF"/>
              </w:rPr>
              <w:t>万元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全年预算数（A）</w:t>
            </w:r>
          </w:p>
        </w:tc>
        <w:tc>
          <w:tcPr>
            <w:tcW w:w="2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全年执行数（B）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预算执行率（B/A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/>
              </w:rPr>
              <w:t>*100%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3087.3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1663.83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53.89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 xml:space="preserve"> 其中：中央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财政资金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1237.00</w:t>
            </w:r>
          </w:p>
        </w:tc>
        <w:tc>
          <w:tcPr>
            <w:tcW w:w="2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432.00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34.92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700" w:firstLineChars="350"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地方资金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1850.30</w:t>
            </w:r>
          </w:p>
        </w:tc>
        <w:tc>
          <w:tcPr>
            <w:tcW w:w="2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1231.83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66.57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资金管理情况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情况说明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存在问题和改进措施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分配科学性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分配科学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下达及时性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下达如期及时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拨付合规性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合规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使用规范性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程序规范，使用合规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执行准确性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准确执行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预算绩效管理情况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按相关要求执行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2752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支出责任履行情况</w:t>
            </w:r>
          </w:p>
        </w:tc>
        <w:tc>
          <w:tcPr>
            <w:tcW w:w="40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按相关要求执行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总体目标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eastAsia="zh-CN"/>
              </w:rPr>
              <w:t>完成情况</w:t>
            </w:r>
          </w:p>
        </w:tc>
        <w:tc>
          <w:tcPr>
            <w:tcW w:w="5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37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全年实际完成情况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5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改造提升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高标准农田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1.5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万亩，通过项目建设，有效改善项目区农田基础设施条件，提升耕地质量，提高粮食综合生产能力。</w:t>
            </w:r>
          </w:p>
        </w:tc>
        <w:tc>
          <w:tcPr>
            <w:tcW w:w="37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完成1.5万亩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高标准农田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改造提升，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改善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了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项目区农田基础设施条件，提升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eastAsia="zh-CN"/>
              </w:rPr>
              <w:t>了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耕地质量，提高</w:t>
            </w: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eastAsia="zh-CN"/>
              </w:rPr>
              <w:t>了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粮食综合生产能力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LrV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一级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指标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全年实际完成值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未完成原因和改进措施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bookmarkStart w:id="0" w:name="_GoBack" w:colFirst="4" w:colLast="5"/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产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出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标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改造提升高标准农田面积（万亩）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1.5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1.5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项目验收合格率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耕地质量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逐步提升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逐步提升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3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任务完成及时性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1-2年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2个月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效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益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标</w:t>
            </w:r>
          </w:p>
        </w:tc>
        <w:tc>
          <w:tcPr>
            <w:tcW w:w="11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社会效益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指标</w:t>
            </w:r>
          </w:p>
        </w:tc>
        <w:tc>
          <w:tcPr>
            <w:tcW w:w="3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粮食综合生产能力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明显提升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明显提升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田间道路通达度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3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水资源利用率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逐步提升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逐步提升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5" w:hRule="atLeast"/>
          <w:jc w:val="center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服务对象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35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受益群众满意率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说明</w:t>
            </w:r>
          </w:p>
        </w:tc>
        <w:tc>
          <w:tcPr>
            <w:tcW w:w="94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请在此处简要说明中央巡视、各级审计和财政监督检查中发现的问题及其所涉及的金额，如没有请填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shd w:val="clear" w:color="auto" w:fill="FFFFFF"/>
              </w:rPr>
              <w:t>无</w:t>
            </w:r>
            <w: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widowControl/>
              <w:ind w:firstLine="400" w:firstLineChars="200"/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0020" w:type="dxa"/>
            <w:gridSpan w:val="9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注：1.资金使用单位按项目绩效目标填报，主管部门汇总时按区域绩效目标填报。</w:t>
            </w:r>
          </w:p>
          <w:p>
            <w:pPr>
              <w:widowControl/>
              <w:ind w:firstLine="36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2.其他资金包括与中央财政资金、地方财政资金共同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shd w:val="clear" w:color="auto" w:fill="FFFFFF"/>
              </w:rPr>
              <w:t>投入到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同一项目的自有资金、社会资金，以及以前年度的结转结余资金等。</w:t>
            </w:r>
          </w:p>
          <w:p>
            <w:pPr>
              <w:widowControl/>
              <w:ind w:firstLine="36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3.全年执行数是指按照国库集中支付制度要求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所形成的实际支出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ind w:firstLine="36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4.定量指标。地方各级主管部门对资金使用单位填写的实际完成值汇总时，绝对值直接累加计算，相对值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采用区域或整体数据，不能采用区域或整体数据的，以区域或项目的资金量为权重进行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加权平均计算。</w:t>
            </w:r>
          </w:p>
          <w:p>
            <w:pPr>
              <w:widowControl/>
              <w:ind w:firstLine="360" w:firstLineChars="200"/>
              <w:jc w:val="left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5.定性指标。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完成情况分为好、较好、一般、较差四档，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资金使用单位分别按照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0%（含）-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0%、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0%（含）-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0%、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0%（含）-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0%、0%-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0%合理填写实际完成值。地方各级主管部门汇总时，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/>
              </w:rPr>
              <w:t>以区域或项目的资金量为权重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加权平均计算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eastAsia="zh-CN"/>
              </w:rPr>
              <w:t>完成值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kNWFjOTAxM2EyZmM3YWFiM2E0Yjg2ZTczYTliMjEifQ=="/>
  </w:docVars>
  <w:rsids>
    <w:rsidRoot w:val="00000000"/>
    <w:rsid w:val="243062C6"/>
    <w:rsid w:val="3AEC49B1"/>
    <w:rsid w:val="3EAB0813"/>
    <w:rsid w:val="403F4FF6"/>
    <w:rsid w:val="5DFFC0B4"/>
    <w:rsid w:val="78BF01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dcterms:modified xsi:type="dcterms:W3CDTF">2024-03-19T08:06:30Z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45E4848FC3B14D239B1BEB243AE499E2_13</vt:lpwstr>
  </property>
</Properties>
</file>