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hint="eastAsia"/>
          <w:lang w:eastAsia="zh-CN"/>
        </w:rPr>
        <w:t>、</w:t>
      </w:r>
      <w:r>
        <w:rPr>
          <w:rFonts w:ascii="Times New Roman" w:hAnsi="Times New Roman" w:eastAsia="黑体" w:cs="Times New Roman"/>
          <w:sz w:val="44"/>
          <w:szCs w:val="44"/>
        </w:rPr>
        <w:t>咸宁市政协六届二次会议第083号提案</w:t>
      </w:r>
    </w:p>
    <w:p>
      <w:pPr>
        <w:spacing w:line="600" w:lineRule="exact"/>
        <w:rPr>
          <w:rFonts w:ascii="Times New Roman" w:hAnsi="Times New Roman" w:eastAsia="仿宋_GB2312" w:cs="Times New Roman"/>
          <w:sz w:val="32"/>
          <w:szCs w:val="32"/>
        </w:rPr>
      </w:pPr>
      <w:r>
        <w:rPr>
          <w:rFonts w:ascii="Times New Roman" w:hAnsi="Times New Roman" w:cs="Times New Roman"/>
          <w:sz w:val="32"/>
          <w:szCs w:val="32"/>
        </w:rPr>
        <w:t xml:space="preserve"> </w:t>
      </w:r>
    </w:p>
    <w:p>
      <w:pPr>
        <w:spacing w:line="600" w:lineRule="exact"/>
        <w:rPr>
          <w:rFonts w:ascii="Times New Roman" w:hAnsi="Times New Roman" w:eastAsia="黑体" w:cs="Times New Roman"/>
          <w:spacing w:val="-2"/>
          <w:w w:val="90"/>
          <w:sz w:val="32"/>
          <w:szCs w:val="32"/>
        </w:rPr>
      </w:pPr>
      <w:r>
        <w:rPr>
          <w:rFonts w:ascii="Times New Roman" w:hAnsi="Times New Roman" w:eastAsia="黑体" w:cs="Times New Roman"/>
          <w:sz w:val="32"/>
          <w:szCs w:val="32"/>
        </w:rPr>
        <w:t>提 案 者：</w:t>
      </w:r>
      <w:r>
        <w:rPr>
          <w:rFonts w:ascii="Times New Roman" w:hAnsi="Times New Roman" w:eastAsia="仿宋_GB2312" w:cs="Times New Roman"/>
          <w:sz w:val="32"/>
          <w:szCs w:val="32"/>
        </w:rPr>
        <w:t>陈途 杜兵 何靖 黄泽中</w:t>
      </w:r>
    </w:p>
    <w:p>
      <w:pPr>
        <w:spacing w:line="600" w:lineRule="exact"/>
        <w:rPr>
          <w:rFonts w:ascii="Times New Roman" w:hAnsi="Times New Roman" w:eastAsia="仿宋_GB2312" w:cs="Times New Roman"/>
          <w:sz w:val="32"/>
          <w:szCs w:val="32"/>
        </w:rPr>
      </w:pPr>
      <w:r>
        <w:rPr>
          <w:rFonts w:ascii="Times New Roman" w:hAnsi="Times New Roman" w:eastAsia="黑体" w:cs="Times New Roman"/>
          <w:sz w:val="32"/>
          <w:szCs w:val="32"/>
        </w:rPr>
        <w:t>主办单位：</w:t>
      </w:r>
      <w:r>
        <w:rPr>
          <w:rFonts w:ascii="Times New Roman" w:hAnsi="Times New Roman" w:eastAsia="仿宋_GB2312" w:cs="Times New Roman"/>
          <w:sz w:val="32"/>
          <w:szCs w:val="32"/>
        </w:rPr>
        <w:t>市农业农村局</w:t>
      </w:r>
    </w:p>
    <w:p>
      <w:pPr>
        <w:spacing w:line="600" w:lineRule="exact"/>
        <w:ind w:left="1600" w:hanging="1600" w:hangingChars="500"/>
        <w:rPr>
          <w:rFonts w:ascii="Times New Roman" w:hAnsi="Times New Roman" w:eastAsia="仿宋_GB2312" w:cs="Times New Roman"/>
          <w:sz w:val="32"/>
          <w:szCs w:val="32"/>
        </w:rPr>
      </w:pPr>
      <w:r>
        <w:rPr>
          <w:rFonts w:ascii="Times New Roman" w:hAnsi="Times New Roman" w:eastAsia="黑体" w:cs="Times New Roman"/>
          <w:sz w:val="32"/>
          <w:szCs w:val="32"/>
        </w:rPr>
        <w:t>会办单位：</w:t>
      </w:r>
      <w:r>
        <w:rPr>
          <w:rFonts w:ascii="Times New Roman" w:hAnsi="Times New Roman" w:eastAsia="仿宋_GB2312" w:cs="Times New Roman"/>
          <w:sz w:val="32"/>
          <w:szCs w:val="32"/>
        </w:rPr>
        <w:t>市卫健委、市经信局、市市场监管局、湖北科技学院、市农科院、咸宁职业技术学院、咸宁市公共检验检测中心、崇阳县人民政府、通城县人民政府、通山县人民政府</w:t>
      </w:r>
    </w:p>
    <w:p>
      <w:pPr>
        <w:tabs>
          <w:tab w:val="left" w:pos="9180"/>
        </w:tabs>
        <w:spacing w:line="600" w:lineRule="exact"/>
        <w:ind w:right="420" w:rightChars="200"/>
        <w:rPr>
          <w:rFonts w:ascii="Times New Roman" w:hAnsi="Times New Roman" w:cs="Times New Roman"/>
          <w:sz w:val="32"/>
          <w:szCs w:val="32"/>
        </w:rPr>
      </w:pPr>
      <w:r>
        <w:rPr>
          <w:rFonts w:ascii="Times New Roman" w:hAnsi="Times New Roman" w:cs="Times New Roman"/>
          <w:sz w:val="32"/>
          <w:szCs w:val="32"/>
        </w:rPr>
        <w:drawing>
          <wp:inline distT="0" distB="0" distL="114300" distR="114300">
            <wp:extent cx="5596890" cy="17145"/>
            <wp:effectExtent l="0" t="0" r="0" b="0"/>
            <wp:docPr id="2" name="图片 2" descr="76112470142173793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1124701421737931090"/>
                    <pic:cNvPicPr>
                      <a:picLocks noChangeAspect="1"/>
                    </pic:cNvPicPr>
                  </pic:nvPicPr>
                  <pic:blipFill>
                    <a:blip r:embed="rId4"/>
                    <a:stretch>
                      <a:fillRect/>
                    </a:stretch>
                  </pic:blipFill>
                  <pic:spPr>
                    <a:xfrm>
                      <a:off x="0" y="0"/>
                      <a:ext cx="5596890" cy="17145"/>
                    </a:xfrm>
                    <a:prstGeom prst="rect">
                      <a:avLst/>
                    </a:prstGeom>
                    <a:noFill/>
                    <a:ln>
                      <a:noFill/>
                    </a:ln>
                  </pic:spPr>
                </pic:pic>
              </a:graphicData>
            </a:graphic>
          </wp:inline>
        </w:drawing>
      </w:r>
    </w:p>
    <w:p>
      <w:pPr>
        <w:spacing w:line="580" w:lineRule="exact"/>
        <w:jc w:val="center"/>
        <w:rPr>
          <w:rFonts w:ascii="Times New Roman" w:hAnsi="Times New Roman" w:eastAsia="方正小标宋简体" w:cs="Times New Roman"/>
          <w:sz w:val="36"/>
          <w:szCs w:val="36"/>
        </w:rPr>
      </w:pPr>
    </w:p>
    <w:p>
      <w:pPr>
        <w:spacing w:line="58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关于推进我市中药材GAP种植基地建设的建议</w:t>
      </w:r>
    </w:p>
    <w:p>
      <w:pPr>
        <w:spacing w:line="620" w:lineRule="exact"/>
        <w:jc w:val="center"/>
        <w:rPr>
          <w:rFonts w:ascii="Times New Roman" w:hAnsi="Times New Roman" w:eastAsia="黑体" w:cs="Times New Roman"/>
          <w:bCs/>
          <w:sz w:val="32"/>
          <w:szCs w:val="32"/>
        </w:rPr>
      </w:pPr>
    </w:p>
    <w:p>
      <w:pPr>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案由</w:t>
      </w:r>
    </w:p>
    <w:p>
      <w:pPr>
        <w:pStyle w:val="4"/>
        <w:widowControl/>
        <w:spacing w:beforeAutospacing="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党的二十大报告提出，推进健康中国建设，深化医药卫生体制改革，促进医保、医疗、医药协同发展和治理，促进中医药传承创新发展。国务院和国家药监局等部委出台一系列政策《中共中央国务院关于促进中医药传承创新发展的意见》、《“十四五”中医药发展规划》、《中药材生产质量管理规范》等推进促进中医药传承创新发展，推进中药材规范化生产，推进中药材规范化种植与养殖，推进中药材、中药饮片信息化追溯体系建设，加强中药材质量控制，促进中药材高质量发展。</w:t>
      </w:r>
    </w:p>
    <w:p>
      <w:pPr>
        <w:pStyle w:val="4"/>
        <w:widowControl/>
        <w:spacing w:beforeAutospacing="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咸宁市地处湖北省五大中药材优势产区之一的幕阜山脉向江汉平原过渡地带，地形地貌复杂多变，植被类型丰富多样，中药材种植历史悠久，素有“华中药库”之美称。省农业农村厅、省卫生健康委联合专家论证评审正式评选出“十大楚药”“五大特色药材”，其中黄精、金刚藤（菝葜）在咸宁栽培面积较大，是主要发展种植品种。</w:t>
      </w:r>
    </w:p>
    <w:p>
      <w:pPr>
        <w:pStyle w:val="4"/>
        <w:widowControl/>
        <w:spacing w:beforeAutospacing="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崇阳县黄精种植面积已突破10万亩，所种植黄精品种为药典所载“多花黄精”，其特点是黄精多糖（功效成分）含量高达15.9%，是国家药典标准规定的2倍以上，品质上乘，产量占到全国总产量的六分之一，具有十分重要的地位。通城药姑山丘陵地势为金刚藤的生长提供了独特的自然环境和良好的气候，在湖北福人药业等龙头企业带动下，初步建设了金刚藤种植基地。依托资源优势，近年来我市中药材种植迅速发展。截至2022年6月，预计全市各类中药材（含野生）种植面积31.19万亩，各类中药材总产量9.34万吨，产值21.45亿元。全市中药材种植主要品种有黄精、金刚藤、白芨等30余种。综合来看，我市中药材种植业正处于快速发展期，各县市人工种植面积保持强劲的增长势头，且陆续有多个中医药项目落地崇阳、通山、通城等县。</w:t>
      </w:r>
    </w:p>
    <w:p>
      <w:pPr>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分析</w:t>
      </w:r>
    </w:p>
    <w:p>
      <w:pPr>
        <w:pStyle w:val="4"/>
        <w:widowControl/>
        <w:spacing w:beforeAutospacing="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我市中药材种植目前存在的问题：一是种植基地发展过程中，基地与企业、药农之间合作模式不规范，种植农户和企业难以实现利益共享和风险共担。二是普遍存在种植规模较小，种植户以散户为主，种植面积过于分散。中药材质量控制体系不够完善，种植中药材质量良莠不齐。中药材种植通常需要建设一定规模，便于规范化种植、规范化管理，保障中药材质量。三是我市GAP种植基地研究发展较为缓慢。中药材种植基地需要对于主产区大气、灌溉水、土壤等环境质量进行监控，保障中药材生长环境安全。我市目前对GAP种植基地研究建设投入还不够。</w:t>
      </w:r>
    </w:p>
    <w:p>
      <w:pPr>
        <w:pStyle w:val="4"/>
        <w:widowControl/>
        <w:spacing w:beforeAutospacing="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咸宁中药材要树立自身品牌，种植出高品质的中药材是最基础的，也是至关重要的。推进中药材GAP基地规范化建设是从源头入手，保障中药材质量，加快中药材生产的规范化、标准化、精准化、规模化与品牌化发展的有效方式。对咸宁中药材质量提升和品牌建设具有积极意义。</w:t>
      </w:r>
    </w:p>
    <w:p>
      <w:pPr>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建议</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政府部门引导建立保障中药材产业高质量发展工作机制，建立中药材生产企业及其生产基地台账和信用档案，实施动态监管；建立中药材规范化生产追溯信息化平台等推进中药材规范化、标准化、集约化发展。</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湖北科技学院、咸宁市农科院、咸宁职业技术学院、咸宁市公共检验检测中心人才、设备和技术资源，对环境空气质量、灌溉水源、土壤质量进行监测，根据科学数据判断是否符合GAP基地建设相关要求，为中药材GAP种植基地管理和技术方面提供科技服务。</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种植企业为主体，以崇阳黄精、通城金刚藤为主要品种，推动先行建设2个GAP种植基地示范点。发展黄精、金刚藤GAP种植，可规范黄精、金刚藤生产，促进中药材质量管理标准化和现代化，为进一步研究不同种植措施对药材质量的影响、保证药材质量稳定可控提供条件，促进我市中医药产业可持续发展。</w:t>
      </w:r>
    </w:p>
    <w:p>
      <w:pPr>
        <w:spacing w:line="460" w:lineRule="exact"/>
        <w:rPr>
          <w:rFonts w:ascii="Times New Roman" w:hAnsi="Times New Roman" w:eastAsia="仿宋_GB2312" w:cs="Times New Roman"/>
          <w:sz w:val="32"/>
          <w:szCs w:val="32"/>
        </w:rPr>
      </w:pPr>
    </w:p>
    <w:p>
      <w:pPr>
        <w:pStyle w:val="3"/>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spacing w:line="560" w:lineRule="exact"/>
        <w:jc w:val="center"/>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bookmarkStart w:id="0" w:name="_GoBack"/>
      <w:bookmarkEnd w:id="0"/>
      <w:r>
        <w:rPr>
          <w:rFonts w:ascii="Times New Roman" w:hAnsi="Times New Roman" w:eastAsia="仿宋_GB2312" w:cs="Times New Roman"/>
          <w:spacing w:val="6"/>
          <w:sz w:val="32"/>
          <w:szCs w:val="32"/>
        </w:rPr>
        <w:t xml:space="preserve"> 经提案委审查，同意立案。</w:t>
      </w:r>
    </w:p>
    <w:p>
      <w:pPr>
        <w:spacing w:line="560" w:lineRule="exact"/>
        <w:jc w:val="center"/>
        <w:rPr>
          <w:rFonts w:ascii="Times New Roman" w:hAnsi="Times New Roman" w:eastAsia="仿宋_GB2312" w:cs="Times New Roman"/>
          <w:spacing w:val="6"/>
          <w:sz w:val="32"/>
          <w:szCs w:val="32"/>
        </w:rPr>
      </w:pPr>
    </w:p>
    <w:p>
      <w:pPr>
        <w:spacing w:line="560" w:lineRule="exact"/>
        <w:jc w:val="righ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咸宁市政协提案委员会</w:t>
      </w:r>
    </w:p>
    <w:p>
      <w:pPr>
        <w:spacing w:line="560" w:lineRule="exac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2023年1月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9FF02A"/>
    <w:multiLevelType w:val="singleLevel"/>
    <w:tmpl w:val="6B9FF0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I2OGI5MWVhNjkzY2MzMjY5NThkNDFlYTkyZWQifQ=="/>
  </w:docVars>
  <w:rsids>
    <w:rsidRoot w:val="7C3856AD"/>
    <w:rsid w:val="004138C2"/>
    <w:rsid w:val="6E1A6AD8"/>
    <w:rsid w:val="7C38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mbria" w:hAnsi="Cambria" w:eastAsia="黑体"/>
      <w:bCs/>
      <w:kern w:val="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2023-07-06T03:41:00Z</dcterms:created>
  <dc:creator>Administrator</dc:creator>
  <cp:lastModifiedBy>Administrator</cp:lastModifiedBy>
  <dcterms:modified xsi:type="dcterms:W3CDTF">2023-07-06T03:46:23Z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519D668BD8A14F28B8AE72669F20BD77_13</vt:lpwstr>
  </property>
</Properties>
</file>