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72821">
      <w:pPr>
        <w:spacing w:line="560" w:lineRule="exact"/>
        <w:jc w:val="center"/>
        <w:rPr>
          <w:rFonts w:hint="eastAsia" w:ascii="方正小标宋简体" w:hAnsi="方正小标宋简体" w:eastAsia="方正小标宋简体" w:cs="方正小标宋简体"/>
          <w:i w:val="0"/>
          <w:caps w:val="0"/>
          <w:color w:val="333333"/>
          <w:spacing w:val="0"/>
          <w:sz w:val="32"/>
          <w:szCs w:val="32"/>
          <w:lang w:val="en-US" w:eastAsia="zh-CN"/>
        </w:rPr>
      </w:pPr>
      <w:r>
        <w:rPr>
          <w:rFonts w:hint="eastAsia" w:ascii="方正小标宋简体" w:hAnsi="方正小标宋简体" w:eastAsia="方正小标宋简体" w:cs="方正小标宋简体"/>
          <w:i w:val="0"/>
          <w:caps w:val="0"/>
          <w:color w:val="333333"/>
          <w:spacing w:val="0"/>
          <w:sz w:val="32"/>
          <w:szCs w:val="32"/>
          <w:lang w:val="en-US" w:eastAsia="zh-CN"/>
        </w:rPr>
        <w:t>崇阳县政府投资审计中心2025年部门预算公开说明</w:t>
      </w:r>
    </w:p>
    <w:p w14:paraId="175F3A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i w:val="0"/>
          <w:caps w:val="0"/>
          <w:color w:val="333333"/>
          <w:spacing w:val="0"/>
          <w:sz w:val="36"/>
          <w:szCs w:val="36"/>
          <w:lang w:val="en-US" w:eastAsia="zh-CN"/>
        </w:rPr>
      </w:pPr>
    </w:p>
    <w:p w14:paraId="57699C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目  录</w:t>
      </w:r>
    </w:p>
    <w:p w14:paraId="47395DE7">
      <w:pPr>
        <w:pStyle w:val="5"/>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第一部分 单位概况</w:t>
      </w:r>
    </w:p>
    <w:p w14:paraId="67F41FB5">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（一）主要职能</w:t>
      </w:r>
    </w:p>
    <w:p w14:paraId="60BCC105">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（二）机构设置</w:t>
      </w:r>
    </w:p>
    <w:p w14:paraId="6CC95F2B">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（三）人员情况</w:t>
      </w:r>
    </w:p>
    <w:p w14:paraId="41CEE35B">
      <w:pPr>
        <w:pStyle w:val="5"/>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（四）年度主要工作任务及目标</w:t>
      </w:r>
    </w:p>
    <w:p w14:paraId="1B695F20">
      <w:pPr>
        <w:pStyle w:val="5"/>
        <w:keepNext w:val="0"/>
        <w:keepLines w:val="0"/>
        <w:pageBreakBefore w:val="0"/>
        <w:numPr>
          <w:ilvl w:val="0"/>
          <w:numId w:val="0"/>
        </w:numPr>
        <w:kinsoku/>
        <w:wordWrap/>
        <w:overflowPunct/>
        <w:topLinePunct w:val="0"/>
        <w:autoSpaceDE/>
        <w:autoSpaceDN/>
        <w:bidi w:val="0"/>
        <w:adjustRightInd/>
        <w:snapToGrid/>
        <w:spacing w:line="480" w:lineRule="exact"/>
        <w:ind w:left="640" w:leftChars="0"/>
        <w:jc w:val="lef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（五）部门预算单位构成</w:t>
      </w:r>
    </w:p>
    <w:p w14:paraId="296AF1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rPr>
        <w:t>第</w:t>
      </w:r>
      <w:r>
        <w:rPr>
          <w:rFonts w:hint="eastAsia" w:ascii="楷体_GB2312" w:hAnsi="楷体_GB2312" w:eastAsia="楷体_GB2312" w:cs="楷体_GB2312"/>
          <w:i w:val="0"/>
          <w:caps w:val="0"/>
          <w:color w:val="333333"/>
          <w:spacing w:val="0"/>
          <w:sz w:val="32"/>
          <w:szCs w:val="32"/>
          <w:lang w:eastAsia="zh-CN"/>
        </w:rPr>
        <w:t>二</w:t>
      </w:r>
      <w:r>
        <w:rPr>
          <w:rFonts w:hint="eastAsia" w:ascii="楷体_GB2312" w:hAnsi="楷体_GB2312" w:eastAsia="楷体_GB2312" w:cs="楷体_GB2312"/>
          <w:i w:val="0"/>
          <w:caps w:val="0"/>
          <w:color w:val="333333"/>
          <w:spacing w:val="0"/>
          <w:sz w:val="32"/>
          <w:szCs w:val="32"/>
        </w:rPr>
        <w:t xml:space="preserve">部分 </w:t>
      </w:r>
      <w:r>
        <w:rPr>
          <w:rFonts w:hint="eastAsia" w:ascii="楷体_GB2312" w:hAnsi="楷体_GB2312" w:eastAsia="楷体_GB2312" w:cs="楷体_GB2312"/>
          <w:i w:val="0"/>
          <w:caps w:val="0"/>
          <w:color w:val="333333"/>
          <w:spacing w:val="0"/>
          <w:sz w:val="32"/>
          <w:szCs w:val="32"/>
          <w:lang w:eastAsia="zh-CN"/>
        </w:rPr>
        <w:t>2025</w:t>
      </w:r>
      <w:r>
        <w:rPr>
          <w:rFonts w:hint="eastAsia" w:ascii="楷体_GB2312" w:hAnsi="楷体_GB2312" w:eastAsia="楷体_GB2312" w:cs="楷体_GB2312"/>
          <w:i w:val="0"/>
          <w:caps w:val="0"/>
          <w:color w:val="333333"/>
          <w:spacing w:val="0"/>
          <w:sz w:val="32"/>
          <w:szCs w:val="32"/>
        </w:rPr>
        <w:t>年部门预算编制情况及说明</w:t>
      </w:r>
    </w:p>
    <w:p w14:paraId="665DC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（一）预算收支安排及增减变化情况说明</w:t>
      </w:r>
    </w:p>
    <w:p w14:paraId="1D255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（二）机关运行经费安排及增减变化情况说明</w:t>
      </w:r>
    </w:p>
    <w:p w14:paraId="322E6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（三）“三公”经费安排及增减变化情况说明</w:t>
      </w:r>
    </w:p>
    <w:p w14:paraId="3CADCB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（四）政府采购预算安排及增减变化情况说明</w:t>
      </w:r>
    </w:p>
    <w:p w14:paraId="0E100B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（五）国有资产占用及增减变化情况说明</w:t>
      </w:r>
    </w:p>
    <w:p w14:paraId="5947D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（六）政府性基金预算支出情况说明</w:t>
      </w:r>
    </w:p>
    <w:p w14:paraId="5C461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（七）2025年部门预算绩效情况说明</w:t>
      </w:r>
    </w:p>
    <w:p w14:paraId="606D7A77">
      <w:pPr>
        <w:spacing w:line="560" w:lineRule="exact"/>
        <w:ind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eastAsia="zh-CN"/>
        </w:rPr>
        <w:t>（八）</w:t>
      </w:r>
      <w:r>
        <w:rPr>
          <w:rFonts w:hint="eastAsia" w:ascii="仿宋_GB2312" w:hAnsi="仿宋_GB2312" w:eastAsia="仿宋_GB2312" w:cs="仿宋_GB2312"/>
          <w:sz w:val="32"/>
          <w:szCs w:val="32"/>
          <w:highlight w:val="none"/>
          <w:lang w:eastAsia="zh-CN"/>
        </w:rPr>
        <w:t>政府债务情况说明</w:t>
      </w:r>
    </w:p>
    <w:p w14:paraId="28BB64E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0" w:leftChars="0" w:right="0" w:rightChars="0" w:firstLineChars="0"/>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rPr>
        <w:t>名词解释</w:t>
      </w:r>
    </w:p>
    <w:p w14:paraId="7DE2B097">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0" w:leftChars="0" w:right="0" w:rightChars="0" w:firstLineChars="0"/>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0"/>
          <w:sz w:val="32"/>
          <w:szCs w:val="32"/>
          <w:lang w:eastAsia="zh-CN"/>
        </w:rPr>
        <w:t>2025</w:t>
      </w:r>
      <w:r>
        <w:rPr>
          <w:rFonts w:hint="eastAsia" w:ascii="楷体_GB2312" w:hAnsi="楷体_GB2312" w:eastAsia="楷体_GB2312" w:cs="楷体_GB2312"/>
          <w:i w:val="0"/>
          <w:caps w:val="0"/>
          <w:color w:val="333333"/>
          <w:spacing w:val="0"/>
          <w:sz w:val="32"/>
          <w:szCs w:val="32"/>
        </w:rPr>
        <w:t>年部门预算</w:t>
      </w:r>
      <w:r>
        <w:rPr>
          <w:rFonts w:hint="eastAsia" w:ascii="楷体_GB2312" w:hAnsi="楷体_GB2312" w:eastAsia="楷体_GB2312" w:cs="楷体_GB2312"/>
          <w:i w:val="0"/>
          <w:caps w:val="0"/>
          <w:color w:val="333333"/>
          <w:spacing w:val="0"/>
          <w:sz w:val="32"/>
          <w:szCs w:val="32"/>
          <w:lang w:eastAsia="zh-CN"/>
        </w:rPr>
        <w:t>公开</w:t>
      </w:r>
      <w:r>
        <w:rPr>
          <w:rFonts w:hint="eastAsia" w:ascii="楷体_GB2312" w:hAnsi="楷体_GB2312" w:eastAsia="楷体_GB2312" w:cs="楷体_GB2312"/>
          <w:i w:val="0"/>
          <w:caps w:val="0"/>
          <w:color w:val="333333"/>
          <w:spacing w:val="0"/>
          <w:sz w:val="32"/>
          <w:szCs w:val="32"/>
        </w:rPr>
        <w:t>表</w:t>
      </w:r>
    </w:p>
    <w:p w14:paraId="379E7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（一）部门收支总表</w:t>
      </w:r>
    </w:p>
    <w:p w14:paraId="52AFD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（二）部门收入总表</w:t>
      </w:r>
    </w:p>
    <w:p w14:paraId="51428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（三）部门支出总表</w:t>
      </w:r>
    </w:p>
    <w:p w14:paraId="2059F2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（四）财政拨款收支总表</w:t>
      </w:r>
    </w:p>
    <w:p w14:paraId="4C0E8D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（五）一般公共预算支出表</w:t>
      </w:r>
    </w:p>
    <w:p w14:paraId="7FFD56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（六）一般公共预算基本支出表</w:t>
      </w:r>
    </w:p>
    <w:p w14:paraId="19B81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（七）一般公共预算“三公”经费支出表</w:t>
      </w:r>
    </w:p>
    <w:p w14:paraId="3B0BB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（八）政府性基金预算支出表</w:t>
      </w:r>
    </w:p>
    <w:p w14:paraId="7C7E0D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（九）项目支出表</w:t>
      </w:r>
    </w:p>
    <w:p w14:paraId="06A2107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0" w:leftChars="0" w:right="0" w:rightChars="0" w:firstLine="640" w:firstLineChars="200"/>
        <w:jc w:val="both"/>
        <w:textAlignment w:val="auto"/>
        <w:rPr>
          <w:rFonts w:hint="eastAsia" w:ascii="楷体_GB2312" w:hAnsi="楷体_GB2312" w:eastAsia="楷体_GB2312" w:cs="楷体_GB2312"/>
          <w:i w:val="0"/>
          <w:caps w:val="0"/>
          <w:color w:val="333333"/>
          <w:spacing w:val="0"/>
          <w:sz w:val="32"/>
          <w:szCs w:val="32"/>
          <w:lang w:val="en-US" w:eastAsia="zh-CN"/>
        </w:rPr>
      </w:pPr>
      <w:r>
        <w:rPr>
          <w:rFonts w:hint="eastAsia" w:ascii="楷体_GB2312" w:hAnsi="楷体_GB2312" w:eastAsia="楷体_GB2312" w:cs="楷体_GB2312"/>
          <w:i w:val="0"/>
          <w:caps w:val="0"/>
          <w:color w:val="333333"/>
          <w:spacing w:val="0"/>
          <w:sz w:val="32"/>
          <w:szCs w:val="32"/>
          <w:lang w:val="en-US" w:eastAsia="zh-CN"/>
        </w:rPr>
        <w:t>2025年部门整体绩效目标申报表</w:t>
      </w:r>
    </w:p>
    <w:p w14:paraId="01649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p>
    <w:p w14:paraId="1579C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rPr>
      </w:pPr>
    </w:p>
    <w:p w14:paraId="217289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第一部分 单位概况</w:t>
      </w:r>
    </w:p>
    <w:p w14:paraId="4A6D3496">
      <w:pPr>
        <w:pStyle w:val="5"/>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（一）主要职能</w:t>
      </w:r>
    </w:p>
    <w:p w14:paraId="2C193E0E">
      <w:pPr>
        <w:keepNext w:val="0"/>
        <w:keepLines w:val="0"/>
        <w:pageBreakBefore w:val="0"/>
        <w:kinsoku/>
        <w:wordWrap/>
        <w:overflowPunct/>
        <w:topLinePunct w:val="0"/>
        <w:autoSpaceDE/>
        <w:autoSpaceDN/>
        <w:bidi w:val="0"/>
        <w:adjustRightInd/>
        <w:snapToGrid/>
        <w:spacing w:line="520" w:lineRule="exact"/>
        <w:ind w:firstLine="642"/>
        <w:textAlignment w:val="auto"/>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lang w:eastAsia="zh-CN"/>
        </w:rPr>
        <w:t>崇阳县政府投资审计局为县审计局二级单位</w:t>
      </w:r>
      <w:r>
        <w:rPr>
          <w:rFonts w:hint="eastAsia" w:ascii="CESI仿宋-GB2312" w:hAnsi="CESI仿宋-GB2312" w:eastAsia="CESI仿宋-GB2312" w:cs="CESI仿宋-GB2312"/>
          <w:bCs/>
          <w:sz w:val="32"/>
          <w:szCs w:val="32"/>
        </w:rPr>
        <w:t>，为</w:t>
      </w:r>
      <w:r>
        <w:rPr>
          <w:rFonts w:hint="eastAsia" w:ascii="CESI仿宋-GB2312" w:hAnsi="CESI仿宋-GB2312" w:eastAsia="CESI仿宋-GB2312" w:cs="CESI仿宋-GB2312"/>
          <w:bCs/>
          <w:sz w:val="32"/>
          <w:szCs w:val="32"/>
          <w:lang w:eastAsia="zh-CN"/>
        </w:rPr>
        <w:t>副科级事业单位</w:t>
      </w:r>
      <w:r>
        <w:rPr>
          <w:rFonts w:hint="eastAsia" w:ascii="CESI仿宋-GB2312" w:hAnsi="CESI仿宋-GB2312" w:eastAsia="CESI仿宋-GB2312" w:cs="CESI仿宋-GB2312"/>
          <w:bCs/>
          <w:sz w:val="32"/>
          <w:szCs w:val="32"/>
        </w:rPr>
        <w:t>。主要职责是：</w:t>
      </w:r>
    </w:p>
    <w:p w14:paraId="2A07587D">
      <w:pPr>
        <w:keepNext w:val="0"/>
        <w:keepLines w:val="0"/>
        <w:pageBreakBefore w:val="0"/>
        <w:kinsoku/>
        <w:wordWrap/>
        <w:overflowPunct/>
        <w:topLinePunct w:val="0"/>
        <w:autoSpaceDE/>
        <w:autoSpaceDN/>
        <w:bidi w:val="0"/>
        <w:adjustRightInd/>
        <w:snapToGrid/>
        <w:spacing w:line="520" w:lineRule="exact"/>
        <w:ind w:firstLine="642"/>
        <w:textAlignment w:val="auto"/>
        <w:rPr>
          <w:rFonts w:hint="eastAsia" w:ascii="仿宋_GB2312" w:hAnsi="仿宋_GB2312" w:eastAsia="仿宋_GB2312" w:cs="仿宋_GB2312"/>
          <w:bCs/>
          <w:sz w:val="32"/>
          <w:szCs w:val="32"/>
        </w:rPr>
      </w:pPr>
      <w:r>
        <w:rPr>
          <w:rFonts w:hint="eastAsia" w:ascii="CESI仿宋-GB2312" w:hAnsi="CESI仿宋-GB2312" w:eastAsia="CESI仿宋-GB2312" w:cs="CESI仿宋-GB2312"/>
          <w:bCs/>
          <w:sz w:val="32"/>
          <w:szCs w:val="32"/>
        </w:rPr>
        <w:t>承担对全县政府投资建设项目的概(预)算执行情况和决算进行审计监督;依法对与政府投资建设项目有关的建设、勘探、设计、施工、采购、供货等部门和单位的相关财务收支进行审计或调查;参与监督政府投资项目的招投标;组织对政府投资的重点工程进行全过程跟踪审计;承办县政府、上级审计机关交办的与政府投资项目相关的其他工作。</w:t>
      </w:r>
    </w:p>
    <w:p w14:paraId="135B462C">
      <w:pPr>
        <w:pStyle w:val="5"/>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（二）机构设置</w:t>
      </w:r>
    </w:p>
    <w:p w14:paraId="0F41BB02">
      <w:pPr>
        <w:keepNext w:val="0"/>
        <w:keepLines w:val="0"/>
        <w:pageBreakBefore w:val="0"/>
        <w:kinsoku/>
        <w:wordWrap/>
        <w:overflowPunct/>
        <w:topLinePunct w:val="0"/>
        <w:autoSpaceDE/>
        <w:autoSpaceDN/>
        <w:bidi w:val="0"/>
        <w:adjustRightInd/>
        <w:snapToGrid/>
        <w:spacing w:line="520" w:lineRule="exact"/>
        <w:ind w:firstLine="642"/>
        <w:textAlignment w:val="auto"/>
        <w:rPr>
          <w:rFonts w:hint="eastAsia" w:ascii="仿宋_GB2312" w:hAnsi="仿宋_GB2312" w:eastAsia="CESI仿宋-GB2312" w:cs="仿宋_GB2312"/>
          <w:bCs/>
          <w:sz w:val="32"/>
          <w:szCs w:val="32"/>
          <w:lang w:val="en-US" w:eastAsia="zh-CN"/>
        </w:rPr>
      </w:pPr>
      <w:r>
        <w:rPr>
          <w:rFonts w:hint="eastAsia" w:ascii="CESI仿宋-GB2312" w:hAnsi="CESI仿宋-GB2312" w:eastAsia="CESI仿宋-GB2312" w:cs="CESI仿宋-GB2312"/>
          <w:bCs/>
          <w:sz w:val="32"/>
          <w:szCs w:val="32"/>
        </w:rPr>
        <w:t>内设政府投资审计股、重点建设项目审计股和综合股</w:t>
      </w:r>
      <w:r>
        <w:rPr>
          <w:rFonts w:hint="eastAsia" w:ascii="CESI仿宋-GB2312" w:hAnsi="CESI仿宋-GB2312" w:eastAsia="CESI仿宋-GB2312" w:cs="CESI仿宋-GB2312"/>
          <w:bCs/>
          <w:sz w:val="32"/>
          <w:szCs w:val="32"/>
          <w:lang w:eastAsia="zh-CN"/>
        </w:rPr>
        <w:t>。</w:t>
      </w:r>
    </w:p>
    <w:p w14:paraId="64206726">
      <w:pPr>
        <w:pStyle w:val="5"/>
        <w:keepNext w:val="0"/>
        <w:keepLines w:val="0"/>
        <w:pageBreakBefore w:val="0"/>
        <w:numPr>
          <w:ilvl w:val="0"/>
          <w:numId w:val="2"/>
        </w:numPr>
        <w:kinsoku/>
        <w:wordWrap/>
        <w:overflowPunct/>
        <w:topLinePunct w:val="0"/>
        <w:autoSpaceDE/>
        <w:autoSpaceDN/>
        <w:bidi w:val="0"/>
        <w:adjustRightInd/>
        <w:snapToGrid/>
        <w:spacing w:line="480" w:lineRule="exact"/>
        <w:jc w:val="left"/>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人员情况</w:t>
      </w:r>
    </w:p>
    <w:p w14:paraId="4E7B8744">
      <w:pPr>
        <w:pStyle w:val="5"/>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核定行政编制0人，工勤编制0人，事业编制9人。其中现有在职人数8人，离休人员0人，退休人员0人。</w:t>
      </w:r>
    </w:p>
    <w:p w14:paraId="4E9CEA9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i w:val="0"/>
          <w:caps w:val="0"/>
          <w:color w:val="333333"/>
          <w:spacing w:val="0"/>
          <w:kern w:val="0"/>
          <w:sz w:val="32"/>
          <w:szCs w:val="32"/>
          <w:lang w:val="en-US" w:eastAsia="zh-CN" w:bidi="ar"/>
        </w:rPr>
      </w:pPr>
      <w:r>
        <w:rPr>
          <w:rFonts w:hint="eastAsia" w:ascii="楷体_GB2312" w:hAnsi="楷体_GB2312" w:eastAsia="楷体_GB2312" w:cs="楷体_GB2312"/>
          <w:i w:val="0"/>
          <w:caps w:val="0"/>
          <w:color w:val="333333"/>
          <w:spacing w:val="0"/>
          <w:kern w:val="0"/>
          <w:sz w:val="32"/>
          <w:szCs w:val="32"/>
          <w:lang w:val="en-US" w:eastAsia="zh-CN" w:bidi="ar"/>
        </w:rPr>
        <w:t>（四）年度主要工作任务及目标</w:t>
      </w:r>
    </w:p>
    <w:p w14:paraId="03A9E99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CESI仿宋-GB2312" w:hAnsi="CESI仿宋-GB2312" w:eastAsia="CESI仿宋-GB2312" w:cs="CESI仿宋-GB2312"/>
          <w:sz w:val="32"/>
          <w:szCs w:val="32"/>
        </w:rPr>
        <w:t>高效保值完成</w:t>
      </w:r>
      <w:r>
        <w:rPr>
          <w:rFonts w:hint="eastAsia" w:ascii="CESI仿宋-GB2312" w:hAnsi="CESI仿宋-GB2312" w:eastAsia="CESI仿宋-GB2312" w:cs="CESI仿宋-GB2312"/>
          <w:sz w:val="32"/>
          <w:szCs w:val="32"/>
          <w:lang w:eastAsia="zh-CN"/>
        </w:rPr>
        <w:t>政府投资审计</w:t>
      </w:r>
      <w:r>
        <w:rPr>
          <w:rFonts w:hint="eastAsia" w:ascii="CESI仿宋-GB2312" w:hAnsi="CESI仿宋-GB2312" w:eastAsia="CESI仿宋-GB2312" w:cs="CESI仿宋-GB2312"/>
          <w:sz w:val="32"/>
          <w:szCs w:val="32"/>
        </w:rPr>
        <w:t>工作</w:t>
      </w:r>
      <w:r>
        <w:rPr>
          <w:rFonts w:hint="eastAsia" w:ascii="CESI仿宋-GB2312" w:hAnsi="CESI仿宋-GB2312" w:eastAsia="CESI仿宋-GB2312" w:cs="CESI仿宋-GB2312"/>
          <w:sz w:val="32"/>
          <w:szCs w:val="32"/>
          <w:lang w:eastAsia="zh-CN"/>
        </w:rPr>
        <w:t>。</w:t>
      </w:r>
    </w:p>
    <w:p w14:paraId="60F26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第二部分 2025年部门预算编制情况及说明</w:t>
      </w:r>
    </w:p>
    <w:p w14:paraId="616C6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（一）预算收支安排及增减变化情况说明</w:t>
      </w:r>
    </w:p>
    <w:p w14:paraId="6C65A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县政府投资审计中心收入预算总额为102.75万元，比上年增加12.53万元,增加13.89%，其中：一般公共预算财政拨款收入102.75万元；其他收入0万元；政府性基金预算收入0万元。增加的主要原因：2025年度共用经费财政保障标准增加。</w:t>
      </w:r>
    </w:p>
    <w:p w14:paraId="339B3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崇阳县经济责任审计中心支出预算总额为102.75万元，比上年增加12.53万元,增加13.89%，其中：基本支出102.75万元，占总支出100%。本年支出构成为（按支出功能分类划分）：一般公共服务支出76.85万元，社会保障和就业支出13.65万元，卫生健康支出3.35万元，住房保障支出8.9万元。增加的主要原因：2025年度公用经费财政保障标准增加。</w:t>
      </w:r>
    </w:p>
    <w:p w14:paraId="63CE6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（二）机关运行经费安排及增减变化情况说明</w:t>
      </w:r>
    </w:p>
    <w:p w14:paraId="7D7C2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2025年机关运行经费预算总额9.6万元，占预算总额的9.34%，比上年增加4.39万元,增长84.26%。其中：邮电费2.5万元、物业管理费3.64万元。增长主要原因：2025年度公用经费财政保障标准增加。</w:t>
      </w:r>
    </w:p>
    <w:p w14:paraId="6389A6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（三）“三公”经费安排及增减变化情况说明</w:t>
      </w:r>
    </w:p>
    <w:p w14:paraId="1A7A0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2025年“三公”经费预算0万元，占预算总额的0%，</w:t>
      </w:r>
    </w:p>
    <w:p w14:paraId="3640EE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（四）政府采购预算安排及增减变化情况说明</w:t>
      </w:r>
    </w:p>
    <w:p w14:paraId="29C1D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根据《湖北省政府集中采购目录及标准（</w:t>
      </w:r>
      <w:r>
        <w:rPr>
          <w:rFonts w:hint="eastAsia" w:ascii="仿宋_GB2312" w:hAnsi="仿宋_GB2312" w:eastAsia="仿宋_GB2312" w:cs="仿宋_GB2312"/>
          <w:i w:val="0"/>
          <w:caps w:val="0"/>
          <w:color w:val="333333"/>
          <w:spacing w:val="0"/>
          <w:sz w:val="32"/>
          <w:szCs w:val="32"/>
          <w:lang w:val="en-US" w:eastAsia="zh-CN"/>
        </w:rPr>
        <w:t>2021年</w:t>
      </w:r>
      <w:r>
        <w:rPr>
          <w:rFonts w:hint="eastAsia" w:ascii="仿宋_GB2312" w:hAnsi="仿宋_GB2312" w:eastAsia="仿宋_GB2312" w:cs="仿宋_GB2312"/>
          <w:i w:val="0"/>
          <w:caps w:val="0"/>
          <w:color w:val="333333"/>
          <w:spacing w:val="0"/>
          <w:sz w:val="32"/>
          <w:szCs w:val="32"/>
          <w:lang w:eastAsia="zh-CN"/>
        </w:rPr>
        <w:t>）要求，切实做到“应编尽编，应采尽采”。2025年，我单位政府采购预算</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万元，比上年减少</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万元。</w:t>
      </w:r>
    </w:p>
    <w:p w14:paraId="73706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（五）国有资产占用及增减变化情况说明</w:t>
      </w:r>
    </w:p>
    <w:p w14:paraId="0BCE8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截至202</w:t>
      </w:r>
      <w:r>
        <w:rPr>
          <w:rFonts w:hint="eastAsia" w:ascii="仿宋_GB2312" w:hAnsi="仿宋_GB2312" w:eastAsia="仿宋_GB2312" w:cs="仿宋_GB2312"/>
          <w:i w:val="0"/>
          <w:caps w:val="0"/>
          <w:color w:val="333333"/>
          <w:spacing w:val="0"/>
          <w:sz w:val="32"/>
          <w:szCs w:val="32"/>
          <w:lang w:val="en-US" w:eastAsia="zh-CN"/>
        </w:rPr>
        <w:t>4</w:t>
      </w:r>
      <w:r>
        <w:rPr>
          <w:rFonts w:hint="eastAsia" w:ascii="仿宋_GB2312" w:hAnsi="仿宋_GB2312" w:eastAsia="仿宋_GB2312" w:cs="仿宋_GB2312"/>
          <w:i w:val="0"/>
          <w:caps w:val="0"/>
          <w:color w:val="333333"/>
          <w:spacing w:val="0"/>
          <w:sz w:val="32"/>
          <w:szCs w:val="32"/>
          <w:lang w:eastAsia="zh-CN"/>
        </w:rPr>
        <w:t>年12月31日，本部门</w:t>
      </w:r>
      <w:r>
        <w:rPr>
          <w:rFonts w:hint="eastAsia" w:ascii="仿宋_GB2312" w:hAnsi="仿宋_GB2312" w:eastAsia="仿宋_GB2312" w:cs="仿宋_GB2312"/>
          <w:i w:val="0"/>
          <w:caps w:val="0"/>
          <w:color w:val="333333"/>
          <w:spacing w:val="0"/>
          <w:sz w:val="32"/>
          <w:szCs w:val="32"/>
          <w:highlight w:val="none"/>
          <w:lang w:eastAsia="zh-CN"/>
        </w:rPr>
        <w:t>占有房屋面积</w:t>
      </w:r>
      <w:r>
        <w:rPr>
          <w:rFonts w:hint="eastAsia" w:ascii="仿宋_GB2312" w:hAnsi="仿宋_GB2312" w:eastAsia="仿宋_GB2312" w:cs="仿宋_GB2312"/>
          <w:i w:val="0"/>
          <w:caps w:val="0"/>
          <w:color w:val="333333"/>
          <w:spacing w:val="0"/>
          <w:sz w:val="32"/>
          <w:szCs w:val="32"/>
          <w:highlight w:val="none"/>
          <w:lang w:val="en-US" w:eastAsia="zh-CN"/>
        </w:rPr>
        <w:t>1700平</w:t>
      </w:r>
      <w:r>
        <w:rPr>
          <w:rFonts w:hint="eastAsia" w:ascii="仿宋_GB2312" w:hAnsi="仿宋_GB2312" w:eastAsia="仿宋_GB2312" w:cs="仿宋_GB2312"/>
          <w:i w:val="0"/>
          <w:caps w:val="0"/>
          <w:color w:val="333333"/>
          <w:spacing w:val="0"/>
          <w:sz w:val="32"/>
          <w:szCs w:val="32"/>
          <w:lang w:val="en-US" w:eastAsia="zh-CN"/>
        </w:rPr>
        <w:t>方米(崇阳县政府投资审计中心与崇阳县审计局本级、崇阳县经济责任审计中心合署办公)，保障工作车辆</w:t>
      </w:r>
      <w:r>
        <w:rPr>
          <w:rFonts w:hint="eastAsia" w:ascii="仿宋_GB2312" w:hAnsi="仿宋_GB2312" w:eastAsia="仿宋_GB2312" w:cs="仿宋_GB2312"/>
          <w:i w:val="0"/>
          <w:caps w:val="0"/>
          <w:color w:val="333333"/>
          <w:spacing w:val="0"/>
          <w:sz w:val="32"/>
          <w:szCs w:val="32"/>
          <w:lang w:eastAsia="zh-CN"/>
        </w:rPr>
        <w:t>共有</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辆；单位价值50万元以上通用设备</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台（套），单价100万元以上专用设备</w:t>
      </w:r>
      <w:r>
        <w:rPr>
          <w:rFonts w:hint="eastAsia" w:ascii="仿宋_GB2312" w:hAnsi="仿宋_GB2312" w:eastAsia="仿宋_GB2312" w:cs="仿宋_GB2312"/>
          <w:i w:val="0"/>
          <w:caps w:val="0"/>
          <w:color w:val="333333"/>
          <w:spacing w:val="0"/>
          <w:sz w:val="32"/>
          <w:szCs w:val="32"/>
          <w:lang w:val="en-US" w:eastAsia="zh-CN"/>
        </w:rPr>
        <w:t>0</w:t>
      </w:r>
      <w:r>
        <w:rPr>
          <w:rFonts w:hint="eastAsia" w:ascii="仿宋_GB2312" w:hAnsi="仿宋_GB2312" w:eastAsia="仿宋_GB2312" w:cs="仿宋_GB2312"/>
          <w:i w:val="0"/>
          <w:caps w:val="0"/>
          <w:color w:val="333333"/>
          <w:spacing w:val="0"/>
          <w:sz w:val="32"/>
          <w:szCs w:val="32"/>
          <w:lang w:eastAsia="zh-CN"/>
        </w:rPr>
        <w:t>套，其他资产无变化。</w:t>
      </w:r>
    </w:p>
    <w:p w14:paraId="17CD69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（六）政府性基金预算支出情况说明</w:t>
      </w:r>
    </w:p>
    <w:p w14:paraId="224E33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我单位2025年无政府性基金预算支出，与上年一致。</w:t>
      </w:r>
    </w:p>
    <w:p w14:paraId="46D8BF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（七）202</w:t>
      </w:r>
      <w:r>
        <w:rPr>
          <w:rFonts w:hint="eastAsia" w:ascii="楷体_GB2312" w:hAnsi="楷体_GB2312" w:eastAsia="楷体_GB2312" w:cs="楷体_GB2312"/>
          <w:i w:val="0"/>
          <w:caps w:val="0"/>
          <w:color w:val="333333"/>
          <w:spacing w:val="0"/>
          <w:sz w:val="32"/>
          <w:szCs w:val="32"/>
          <w:lang w:val="en-US" w:eastAsia="zh-CN"/>
        </w:rPr>
        <w:t>5</w:t>
      </w:r>
      <w:r>
        <w:rPr>
          <w:rFonts w:hint="eastAsia" w:ascii="楷体_GB2312" w:hAnsi="楷体_GB2312" w:eastAsia="楷体_GB2312" w:cs="楷体_GB2312"/>
          <w:i w:val="0"/>
          <w:caps w:val="0"/>
          <w:color w:val="333333"/>
          <w:spacing w:val="0"/>
          <w:sz w:val="32"/>
          <w:szCs w:val="32"/>
          <w:lang w:eastAsia="zh-CN"/>
        </w:rPr>
        <w:t>年部门预算绩效情况说明</w:t>
      </w:r>
    </w:p>
    <w:p w14:paraId="26C1A6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auto"/>
          <w:spacing w:val="0"/>
          <w:sz w:val="32"/>
          <w:szCs w:val="32"/>
          <w:highlight w:val="none"/>
          <w:lang w:eastAsia="zh-CN"/>
        </w:rPr>
        <w:t>部门预算绩效开展情况：202</w:t>
      </w:r>
      <w:r>
        <w:rPr>
          <w:rFonts w:hint="eastAsia" w:ascii="仿宋_GB2312" w:hAnsi="仿宋_GB2312" w:eastAsia="仿宋_GB2312" w:cs="仿宋_GB2312"/>
          <w:i w:val="0"/>
          <w:caps w:val="0"/>
          <w:color w:val="auto"/>
          <w:spacing w:val="0"/>
          <w:sz w:val="32"/>
          <w:szCs w:val="32"/>
          <w:highlight w:val="none"/>
          <w:lang w:val="en-US" w:eastAsia="zh-CN"/>
        </w:rPr>
        <w:t>5</w:t>
      </w:r>
      <w:r>
        <w:rPr>
          <w:rFonts w:hint="eastAsia" w:ascii="仿宋_GB2312" w:hAnsi="仿宋_GB2312" w:eastAsia="仿宋_GB2312" w:cs="仿宋_GB2312"/>
          <w:i w:val="0"/>
          <w:caps w:val="0"/>
          <w:color w:val="auto"/>
          <w:spacing w:val="0"/>
          <w:sz w:val="32"/>
          <w:szCs w:val="32"/>
          <w:highlight w:val="none"/>
          <w:lang w:eastAsia="zh-CN"/>
        </w:rPr>
        <w:t>年</w:t>
      </w:r>
      <w:r>
        <w:rPr>
          <w:rFonts w:hint="eastAsia" w:ascii="仿宋_GB2312" w:hAnsi="仿宋_GB2312" w:eastAsia="仿宋_GB2312" w:cs="仿宋_GB2312"/>
          <w:i w:val="0"/>
          <w:caps w:val="0"/>
          <w:color w:val="333333"/>
          <w:spacing w:val="0"/>
          <w:sz w:val="32"/>
          <w:szCs w:val="32"/>
          <w:lang w:val="en-US" w:eastAsia="zh-CN"/>
        </w:rPr>
        <w:t>崇阳县政府投资审计中心</w:t>
      </w:r>
      <w:r>
        <w:rPr>
          <w:rFonts w:hint="eastAsia" w:ascii="仿宋_GB2312" w:hAnsi="仿宋_GB2312" w:eastAsia="仿宋_GB2312" w:cs="仿宋_GB2312"/>
          <w:i w:val="0"/>
          <w:caps w:val="0"/>
          <w:color w:val="auto"/>
          <w:spacing w:val="0"/>
          <w:sz w:val="32"/>
          <w:szCs w:val="32"/>
          <w:highlight w:val="none"/>
          <w:lang w:eastAsia="zh-CN"/>
        </w:rPr>
        <w:t>项目</w:t>
      </w:r>
      <w:r>
        <w:rPr>
          <w:rFonts w:hint="eastAsia" w:ascii="仿宋_GB2312" w:hAnsi="仿宋_GB2312" w:eastAsia="仿宋_GB2312" w:cs="仿宋_GB2312"/>
          <w:i w:val="0"/>
          <w:caps w:val="0"/>
          <w:color w:val="auto"/>
          <w:spacing w:val="0"/>
          <w:sz w:val="32"/>
          <w:szCs w:val="32"/>
          <w:highlight w:val="none"/>
          <w:lang w:val="en-US" w:eastAsia="zh-CN"/>
        </w:rPr>
        <w:t>0个，总计</w:t>
      </w:r>
      <w:r>
        <w:rPr>
          <w:rFonts w:hint="eastAsia" w:ascii="仿宋_GB2312" w:hAnsi="仿宋_GB2312" w:eastAsia="仿宋_GB2312" w:cs="仿宋_GB2312"/>
          <w:i w:val="0"/>
          <w:caps w:val="0"/>
          <w:color w:val="auto"/>
          <w:spacing w:val="0"/>
          <w:sz w:val="32"/>
          <w:szCs w:val="32"/>
          <w:highlight w:val="none"/>
          <w:lang w:eastAsia="zh-CN"/>
        </w:rPr>
        <w:t>支出</w:t>
      </w:r>
      <w:r>
        <w:rPr>
          <w:rFonts w:hint="eastAsia" w:ascii="仿宋_GB2312" w:hAnsi="仿宋_GB2312" w:eastAsia="仿宋_GB2312" w:cs="仿宋_GB2312"/>
          <w:i w:val="0"/>
          <w:caps w:val="0"/>
          <w:color w:val="auto"/>
          <w:spacing w:val="0"/>
          <w:sz w:val="32"/>
          <w:szCs w:val="32"/>
          <w:highlight w:val="none"/>
          <w:lang w:val="en-US" w:eastAsia="zh-CN"/>
        </w:rPr>
        <w:t>0</w:t>
      </w:r>
      <w:r>
        <w:rPr>
          <w:rFonts w:hint="eastAsia" w:ascii="仿宋_GB2312" w:hAnsi="仿宋_GB2312" w:eastAsia="仿宋_GB2312" w:cs="仿宋_GB2312"/>
          <w:i w:val="0"/>
          <w:caps w:val="0"/>
          <w:color w:val="auto"/>
          <w:spacing w:val="0"/>
          <w:sz w:val="32"/>
          <w:szCs w:val="32"/>
          <w:highlight w:val="none"/>
          <w:lang w:eastAsia="zh-CN"/>
        </w:rPr>
        <w:t>万元。</w:t>
      </w:r>
    </w:p>
    <w:p w14:paraId="51692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lang w:eastAsia="zh-CN"/>
        </w:rPr>
      </w:pPr>
      <w:r>
        <w:rPr>
          <w:rFonts w:hint="eastAsia" w:ascii="楷体_GB2312" w:hAnsi="楷体_GB2312" w:eastAsia="楷体_GB2312" w:cs="楷体_GB2312"/>
          <w:i w:val="0"/>
          <w:caps w:val="0"/>
          <w:color w:val="333333"/>
          <w:spacing w:val="0"/>
          <w:sz w:val="32"/>
          <w:szCs w:val="32"/>
          <w:lang w:eastAsia="zh-CN"/>
        </w:rPr>
        <w:t>（八）政府债务情况说明</w:t>
      </w:r>
    </w:p>
    <w:p w14:paraId="48F342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bCs/>
          <w:sz w:val="32"/>
          <w:szCs w:val="32"/>
          <w:highlight w:val="none"/>
          <w:lang w:val="en-US" w:eastAsia="zh-CN"/>
        </w:rPr>
        <w:t>我单位2025年无举借政府债务的情况，与上年一致。</w:t>
      </w:r>
    </w:p>
    <w:p w14:paraId="203AE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第三部分 名词解释</w:t>
      </w:r>
    </w:p>
    <w:p w14:paraId="0CDC51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（一）财政拨款收入：指县本级财政当年拨付的资金。</w:t>
      </w:r>
    </w:p>
    <w:p w14:paraId="6C7196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highlight w:val="none"/>
          <w:lang w:eastAsia="zh-CN"/>
        </w:rPr>
      </w:pPr>
      <w:r>
        <w:rPr>
          <w:rFonts w:hint="eastAsia" w:ascii="仿宋_GB2312" w:hAnsi="仿宋_GB2312" w:eastAsia="仿宋_GB2312" w:cs="仿宋_GB2312"/>
          <w:i w:val="0"/>
          <w:caps w:val="0"/>
          <w:color w:val="333333"/>
          <w:spacing w:val="0"/>
          <w:sz w:val="32"/>
          <w:szCs w:val="32"/>
          <w:lang w:eastAsia="zh-CN"/>
        </w:rPr>
        <w:t>（二）上级专项补助收入：指除上述“财政拨款收入”等以外的</w:t>
      </w:r>
      <w:r>
        <w:rPr>
          <w:rFonts w:hint="eastAsia" w:ascii="仿宋_GB2312" w:hAnsi="仿宋_GB2312" w:eastAsia="仿宋_GB2312" w:cs="仿宋_GB2312"/>
          <w:i w:val="0"/>
          <w:caps w:val="0"/>
          <w:color w:val="333333"/>
          <w:spacing w:val="0"/>
          <w:sz w:val="32"/>
          <w:szCs w:val="32"/>
          <w:highlight w:val="none"/>
          <w:lang w:eastAsia="zh-CN"/>
        </w:rPr>
        <w:t>上级财政部门交办任务相应安排的资金。</w:t>
      </w:r>
    </w:p>
    <w:p w14:paraId="6FA788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highlight w:val="none"/>
          <w:lang w:eastAsia="zh-CN"/>
        </w:rPr>
      </w:pPr>
      <w:r>
        <w:rPr>
          <w:rFonts w:hint="eastAsia" w:ascii="仿宋_GB2312" w:hAnsi="仿宋_GB2312" w:eastAsia="仿宋_GB2312" w:cs="仿宋_GB2312"/>
          <w:i w:val="0"/>
          <w:caps w:val="0"/>
          <w:color w:val="333333"/>
          <w:spacing w:val="0"/>
          <w:sz w:val="32"/>
          <w:szCs w:val="32"/>
          <w:highlight w:val="none"/>
          <w:lang w:eastAsia="zh-CN"/>
        </w:rPr>
        <w:t>（三）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1FFF38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（四）一般公共服务（类）行政运行（项）：指审计局机关及所属管理的事业单位用于保障机构正常运行、开展日常工作的基本支出。</w:t>
      </w:r>
    </w:p>
    <w:p w14:paraId="49C58F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（五）一般公共服务（类）一般行政管理（项）：指行政单位及参照公务员管理事业单位用于科研、监督检查、项目评审等项目支出。</w:t>
      </w:r>
    </w:p>
    <w:p w14:paraId="6AE09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（六）一般公共服务（类）机关服务（项）：指审计局机关用于办公楼日常维修维护等后勤保障服务的项目支出。</w:t>
      </w:r>
    </w:p>
    <w:p w14:paraId="15750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（七）基本支出：指为保障机构正常运转、完成日常工作任务而发生的人员支出和公用支出。</w:t>
      </w:r>
    </w:p>
    <w:p w14:paraId="526C9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（八）项目支出：指在基本支出之外为完成特定行政任务和事业发展目标所发生的支出。</w:t>
      </w:r>
    </w:p>
    <w:p w14:paraId="318C1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九）“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14:paraId="5C82F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第四部分 2025年部门预算公开表（详见附表）</w:t>
      </w:r>
    </w:p>
    <w:p w14:paraId="23E830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（一）部门收支总表。反映本部门（含所属二级单位，下同）预算收支的总体情况，支出分类科目明细至“类”级。</w:t>
      </w:r>
    </w:p>
    <w:p w14:paraId="57154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（二）部门收入总表。</w:t>
      </w:r>
    </w:p>
    <w:p w14:paraId="7BCA4E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（三）部门支出总表。</w:t>
      </w:r>
    </w:p>
    <w:p w14:paraId="68029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四</w:t>
      </w:r>
      <w:r>
        <w:rPr>
          <w:rFonts w:hint="eastAsia" w:ascii="仿宋_GB2312" w:hAnsi="仿宋_GB2312" w:eastAsia="仿宋_GB2312" w:cs="仿宋_GB2312"/>
          <w:i w:val="0"/>
          <w:caps w:val="0"/>
          <w:color w:val="333333"/>
          <w:spacing w:val="0"/>
          <w:sz w:val="32"/>
          <w:szCs w:val="32"/>
          <w:lang w:eastAsia="zh-CN"/>
        </w:rPr>
        <w:t>）财政拨款收支总表。</w:t>
      </w:r>
    </w:p>
    <w:p w14:paraId="165355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（五）一般公共预算支出表。按功能科目到项级。</w:t>
      </w:r>
    </w:p>
    <w:p w14:paraId="6B1819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（六）一般公共预算基本支出表。按经济科目到款级。</w:t>
      </w:r>
    </w:p>
    <w:p w14:paraId="26618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val="en-US" w:eastAsia="zh-CN"/>
        </w:rPr>
        <w:t>（七）</w:t>
      </w:r>
      <w:r>
        <w:rPr>
          <w:rFonts w:hint="eastAsia" w:ascii="仿宋_GB2312" w:hAnsi="仿宋_GB2312" w:eastAsia="仿宋_GB2312" w:cs="仿宋_GB2312"/>
          <w:i w:val="0"/>
          <w:caps w:val="0"/>
          <w:color w:val="333333"/>
          <w:spacing w:val="0"/>
          <w:sz w:val="32"/>
          <w:szCs w:val="32"/>
          <w:lang w:eastAsia="zh-CN"/>
        </w:rPr>
        <w:t>一般公共预算“三公”经费支出表。</w:t>
      </w:r>
    </w:p>
    <w:p w14:paraId="524E6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val="en-US" w:eastAsia="zh-CN"/>
        </w:rPr>
        <w:t>（八）</w:t>
      </w:r>
      <w:r>
        <w:rPr>
          <w:rFonts w:hint="eastAsia" w:ascii="仿宋_GB2312" w:hAnsi="仿宋_GB2312" w:eastAsia="仿宋_GB2312" w:cs="仿宋_GB2312"/>
          <w:i w:val="0"/>
          <w:caps w:val="0"/>
          <w:color w:val="333333"/>
          <w:spacing w:val="0"/>
          <w:sz w:val="32"/>
          <w:szCs w:val="32"/>
          <w:lang w:eastAsia="zh-CN"/>
        </w:rPr>
        <w:t>政府性基金预算支出情况说明。如单位无政府性基金支出情况，可列空表，并进行备注说明。</w:t>
      </w:r>
    </w:p>
    <w:p w14:paraId="27FE9C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（九）项目支出表。</w:t>
      </w:r>
    </w:p>
    <w:p w14:paraId="65D1A5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2025年部门整体绩效目标申报表（详见附表）</w:t>
      </w:r>
    </w:p>
    <w:p w14:paraId="06F974A9">
      <w:pPr>
        <w:rPr>
          <w:rFonts w:hint="eastAsia" w:ascii="仿宋_GB2312" w:hAnsi="仿宋_GB2312" w:eastAsia="仿宋_GB2312" w:cs="仿宋_GB2312"/>
          <w:i w:val="0"/>
          <w:caps w:val="0"/>
          <w:color w:val="333333"/>
          <w:spacing w:val="0"/>
          <w:kern w:val="0"/>
          <w:sz w:val="32"/>
          <w:szCs w:val="32"/>
          <w:lang w:val="en-US" w:eastAsia="zh-CN" w:bidi="ar"/>
        </w:rPr>
      </w:pPr>
    </w:p>
    <w:p w14:paraId="21F79F19">
      <w:pPr>
        <w:wordWrap w:val="0"/>
        <w:ind w:right="840" w:rightChars="400"/>
        <w:jc w:val="right"/>
        <w:rPr>
          <w:rFonts w:hint="default"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 xml:space="preserve">崇阳县审计局  </w:t>
      </w:r>
    </w:p>
    <w:p w14:paraId="12A8B56F">
      <w:pPr>
        <w:ind w:right="840" w:rightChars="400"/>
        <w:jc w:val="right"/>
        <w:rPr>
          <w:rFonts w:hint="default"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2025年1月26日</w:t>
      </w:r>
    </w:p>
    <w:p w14:paraId="767FDAD7">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仿宋_GB2312"/>
    <w:panose1 w:val="02020603050405020304"/>
    <w:charset w:val="CC"/>
    <w:family w:val="roman"/>
    <w:pitch w:val="default"/>
    <w:sig w:usb0="00000000" w:usb1="00000000" w:usb2="00000008" w:usb3="00000000" w:csb0="400001FF" w:csb1="FFFF0000"/>
  </w:font>
  <w:font w:name="宋体">
    <w:altName w:val="仿宋_GB2312"/>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仿宋_GB2312"/>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仿宋_GB2312"/>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仿宋_GB2312">
    <w:panose1 w:val="03000509000000000000"/>
    <w:charset w:val="86"/>
    <w:family w:val="auto"/>
    <w:pitch w:val="default"/>
    <w:sig w:usb0="00000001" w:usb1="080E0000" w:usb2="00000000" w:usb3="00000000" w:csb0="00040000" w:csb1="00000000"/>
  </w:font>
  <w:font w:name="Calibri">
    <w:altName w:val="仿宋_GB2312"/>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A9234"/>
    <w:multiLevelType w:val="singleLevel"/>
    <w:tmpl w:val="C81A9234"/>
    <w:lvl w:ilvl="0" w:tentative="0">
      <w:start w:val="3"/>
      <w:numFmt w:val="chineseCounting"/>
      <w:suff w:val="space"/>
      <w:lvlText w:val="第%1部分"/>
      <w:lvlJc w:val="left"/>
      <w:pPr>
        <w:ind w:left="630"/>
      </w:pPr>
      <w:rPr>
        <w:rFonts w:hint="eastAsia"/>
      </w:rPr>
    </w:lvl>
  </w:abstractNum>
  <w:abstractNum w:abstractNumId="1">
    <w:nsid w:val="2C365DE3"/>
    <w:multiLevelType w:val="singleLevel"/>
    <w:tmpl w:val="2C365DE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225D4"/>
    <w:rsid w:val="071225D4"/>
    <w:rsid w:val="07F67816"/>
    <w:rsid w:val="290C04FE"/>
    <w:rsid w:val="2BC34729"/>
    <w:rsid w:val="3ABE0EA8"/>
    <w:rsid w:val="4F271D9F"/>
    <w:rsid w:val="6BA93454"/>
    <w:rsid w:val="B7CE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2025-01-24T17:22:00Z</dcterms:created>
  <dc:creator>瓦尔瓦拉·瓦西里耶夫娜</dc:creator>
  <cp:lastModifiedBy>ELLA</cp:lastModifiedBy>
  <dcterms:modified xsi:type="dcterms:W3CDTF">2025-02-21T15:58:09Z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13B7CBAABF394762B18057519FA52F2F_11</vt:lpwstr>
  </property>
  <property fmtid="{D5CDD505-2E9C-101B-9397-08002B2CF9AE}" pid="4" name="KSOTemplateDocerSaveRecord">
    <vt:lpwstr>eyJoZGlkIjoiYmRmZjQwNjdiMWQ4NWJhNTQyYTRjNjA5NDY2M2U5MTgiLCJ1c2VySWQiOiI0Mzg5MjU1NTQifQ==</vt:lpwstr>
  </property>
</Properties>
</file>