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otted" w:color="DBDBDB" w:sz="6"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caps w:val="0"/>
          <w:color w:val="666666"/>
          <w:spacing w:val="0"/>
          <w:sz w:val="18"/>
          <w:szCs w:val="18"/>
        </w:rPr>
      </w:pPr>
    </w:p>
    <w:p>
      <w:pPr>
        <w:jc w:val="both"/>
        <w:rPr>
          <w:rFonts w:hint="eastAsia"/>
          <w:b/>
          <w:bCs/>
          <w:sz w:val="44"/>
          <w:szCs w:val="44"/>
          <w:lang w:val="en-US" w:eastAsia="zh-CN"/>
        </w:rPr>
      </w:pPr>
      <w:r>
        <w:rPr>
          <w:rFonts w:hint="eastAsia"/>
          <w:b/>
          <w:bCs/>
          <w:sz w:val="44"/>
          <w:szCs w:val="44"/>
          <w:lang w:val="en-US" w:eastAsia="zh-CN"/>
        </w:rPr>
        <w:t>县文旅局2020年度政府信息公开工作报告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今年以来，我</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局按照</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崇阳县</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政府信息公开工作的统一部署和要求，结合</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文旅</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局工作实际，大力推进政府信息公开机构建设，不断规范政府信息公开制度，提高政府信息水平，有力辅助促进其他工作开展。报告中所列数据的统计期限自2020年1月1日起至2020年12月31日止。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一、本年度政务信息总体公开情况</w:t>
      </w:r>
    </w:p>
    <w:p>
      <w:pPr>
        <w:ind w:firstLine="420"/>
        <w:rPr>
          <w:rFonts w:hint="eastAsia" w:ascii="仿宋_GB2312" w:eastAsia="仿宋_GB2312"/>
          <w:b w:val="0"/>
          <w:sz w:val="32"/>
          <w:szCs w:val="32"/>
        </w:rPr>
      </w:pPr>
      <w:r>
        <w:rPr>
          <w:rFonts w:hint="eastAsia" w:ascii="仿宋_GB2312" w:eastAsia="仿宋_GB2312"/>
          <w:b w:val="0"/>
          <w:sz w:val="32"/>
          <w:szCs w:val="32"/>
        </w:rPr>
        <w:t xml:space="preserve">（一）加强组织领导。成立了县文旅局政府信息公开工作领导小组，办公室负责具体日常工作。形成了主要领导负总责，分管副局长具体抓、局办公室协调承办、各股室、二级单位共同参与，上下联动、整体推进的工作格局。 </w:t>
      </w:r>
    </w:p>
    <w:p>
      <w:pPr>
        <w:ind w:firstLine="420"/>
        <w:rPr>
          <w:rFonts w:hint="eastAsia" w:ascii="仿宋_GB2312" w:eastAsia="仿宋_GB2312"/>
          <w:b w:val="0"/>
          <w:sz w:val="32"/>
          <w:szCs w:val="32"/>
        </w:rPr>
      </w:pPr>
      <w:r>
        <w:rPr>
          <w:rFonts w:hint="eastAsia" w:ascii="仿宋_GB2312" w:eastAsia="仿宋_GB2312"/>
          <w:b w:val="0"/>
          <w:sz w:val="32"/>
          <w:szCs w:val="32"/>
        </w:rPr>
        <w:t>（二）优化公开内容。为更加方便群众查询</w:t>
      </w:r>
      <w:r>
        <w:rPr>
          <w:rFonts w:hint="eastAsia" w:ascii="仿宋_GB2312" w:eastAsia="仿宋_GB2312"/>
          <w:b w:val="0"/>
          <w:sz w:val="32"/>
          <w:szCs w:val="32"/>
          <w:lang w:eastAsia="zh-CN"/>
        </w:rPr>
        <w:t>文旅</w:t>
      </w:r>
      <w:r>
        <w:rPr>
          <w:rFonts w:hint="eastAsia" w:ascii="仿宋_GB2312" w:eastAsia="仿宋_GB2312"/>
          <w:b w:val="0"/>
          <w:sz w:val="32"/>
          <w:szCs w:val="32"/>
        </w:rPr>
        <w:t>政策及有关工作信息，根据县政府要求，结合工作实际，我局设置了机构设置、工作动态、通知公告、政务公开、政策法规等专栏，及时主动公开相关信息。同时，充实完善了服务指南，办事流程、政策法规等有关内容，对</w:t>
      </w:r>
      <w:r>
        <w:rPr>
          <w:rFonts w:hint="eastAsia" w:ascii="仿宋_GB2312" w:eastAsia="仿宋_GB2312"/>
          <w:b w:val="0"/>
          <w:sz w:val="32"/>
          <w:szCs w:val="32"/>
          <w:lang w:eastAsia="zh-CN"/>
        </w:rPr>
        <w:t>2020</w:t>
      </w:r>
      <w:r>
        <w:rPr>
          <w:rFonts w:hint="eastAsia" w:ascii="仿宋_GB2312" w:eastAsia="仿宋_GB2312"/>
          <w:b w:val="0"/>
          <w:sz w:val="32"/>
          <w:szCs w:val="32"/>
        </w:rPr>
        <w:t>年</w:t>
      </w:r>
      <w:r>
        <w:rPr>
          <w:rFonts w:hint="eastAsia" w:ascii="仿宋_GB2312" w:eastAsia="仿宋_GB2312"/>
          <w:b w:val="0"/>
          <w:sz w:val="32"/>
          <w:szCs w:val="32"/>
          <w:lang w:eastAsia="zh-CN"/>
        </w:rPr>
        <w:t>部门</w:t>
      </w:r>
      <w:r>
        <w:rPr>
          <w:rFonts w:hint="eastAsia" w:ascii="仿宋_GB2312" w:eastAsia="仿宋_GB2312"/>
          <w:b w:val="0"/>
          <w:sz w:val="32"/>
          <w:szCs w:val="32"/>
        </w:rPr>
        <w:t xml:space="preserve">预算等群众所关注并与群众利益密切相关事项在政府门户网站及时同步进行了公布。 </w:t>
      </w:r>
    </w:p>
    <w:p>
      <w:pPr>
        <w:ind w:firstLine="420"/>
        <w:rPr>
          <w:rFonts w:hint="eastAsia" w:ascii="仿宋_GB2312" w:eastAsia="仿宋_GB2312"/>
          <w:b w:val="0"/>
          <w:sz w:val="32"/>
          <w:szCs w:val="32"/>
        </w:rPr>
      </w:pPr>
      <w:r>
        <w:rPr>
          <w:rFonts w:hint="eastAsia" w:ascii="仿宋_GB2312" w:eastAsia="仿宋_GB2312"/>
          <w:b w:val="0"/>
          <w:sz w:val="32"/>
          <w:szCs w:val="32"/>
        </w:rPr>
        <w:t xml:space="preserve">（三）完善工作机制。建立健全保密审查、监督考核、目标管理、组织领导等工作机制，完善了信息公开审签工作流程，实行了一般信息分管领导审签，重要信息主要领导签发制度。同时，建立并实施了政务信息公开责任追究制度，从“责任主体、追究原则、追究程序、追究范围、追究方式”等方面进行了明确。坚决杜绝虚假、不实信息公开。 </w:t>
      </w:r>
    </w:p>
    <w:p>
      <w:pPr>
        <w:ind w:firstLine="420"/>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_GB2312" w:eastAsia="仿宋_GB2312"/>
          <w:b w:val="0"/>
          <w:sz w:val="32"/>
          <w:szCs w:val="32"/>
        </w:rPr>
        <w:t xml:space="preserve">（四）多渠道公开信息。对涉及经济社会发展和人民切身利益的旅游信息做到及时、主动、全面公开。在我局办公室门前设置了公开栏，公开了局机关职能职责、机构分布图等信息。对于社会反映强烈与群众利益密切相关的内容，除通过政府门户网站公开外，还利用报纸、电视等新闻媒介快速、形象、准确向社会公开。为了达到便民和方便监督的目的，在公开内容的运作上，重视公开的时限性，该事前公开的决不拖到事后公开，该当天公开的就当天公开，实现全过程“阳光运作”。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主动公开政府信息情况</w:t>
      </w:r>
    </w:p>
    <w:p>
      <w:pPr>
        <w:ind w:firstLine="640" w:firstLineChars="200"/>
        <w:rPr>
          <w:rFonts w:hint="eastAsia" w:ascii="仿宋_GB2312" w:eastAsia="仿宋_GB2312"/>
          <w:b w:val="0"/>
          <w:sz w:val="32"/>
          <w:szCs w:val="32"/>
        </w:rPr>
      </w:pPr>
      <w:r>
        <w:rPr>
          <w:rFonts w:hint="eastAsia" w:ascii="仿宋_GB2312" w:eastAsia="仿宋_GB2312"/>
          <w:b w:val="0"/>
          <w:sz w:val="32"/>
          <w:szCs w:val="32"/>
          <w:lang w:eastAsia="zh-CN"/>
        </w:rPr>
        <w:t>2020</w:t>
      </w:r>
      <w:r>
        <w:rPr>
          <w:rFonts w:hint="eastAsia" w:ascii="仿宋_GB2312" w:eastAsia="仿宋_GB2312"/>
          <w:b w:val="0"/>
          <w:sz w:val="32"/>
          <w:szCs w:val="32"/>
        </w:rPr>
        <w:t>年，崇阳县文旅局深入贯彻落实《中华人民共和国政府信息公开条例》，按照县委、县政府的要求，依法、及时、准确、有序地做好政府信息公开工作。</w:t>
      </w:r>
    </w:p>
    <w:p>
      <w:pPr>
        <w:ind w:firstLine="420"/>
        <w:rPr>
          <w:rFonts w:hint="eastAsia" w:ascii="仿宋_GB2312" w:eastAsia="仿宋_GB2312"/>
          <w:b w:val="0"/>
          <w:sz w:val="32"/>
          <w:szCs w:val="32"/>
        </w:rPr>
      </w:pPr>
      <w:r>
        <w:rPr>
          <w:rFonts w:hint="eastAsia" w:ascii="仿宋_GB2312" w:eastAsia="仿宋_GB2312"/>
          <w:b w:val="0"/>
          <w:sz w:val="32"/>
          <w:szCs w:val="32"/>
        </w:rPr>
        <w:t>（一）</w:t>
      </w:r>
      <w:r>
        <w:rPr>
          <w:rFonts w:hint="eastAsia" w:ascii="仿宋_GB2312" w:eastAsia="仿宋_GB2312"/>
          <w:b w:val="0"/>
          <w:sz w:val="32"/>
          <w:szCs w:val="32"/>
          <w:lang w:eastAsia="zh-CN"/>
        </w:rPr>
        <w:t>2020</w:t>
      </w:r>
      <w:r>
        <w:rPr>
          <w:rFonts w:hint="eastAsia" w:ascii="仿宋_GB2312" w:eastAsia="仿宋_GB2312"/>
          <w:b w:val="0"/>
          <w:sz w:val="32"/>
          <w:szCs w:val="32"/>
        </w:rPr>
        <w:t>年，我局主动公开</w:t>
      </w:r>
      <w:r>
        <w:rPr>
          <w:rFonts w:hint="eastAsia" w:ascii="仿宋_GB2312" w:eastAsia="仿宋_GB2312"/>
          <w:b w:val="0"/>
          <w:sz w:val="32"/>
          <w:szCs w:val="32"/>
          <w:lang w:eastAsia="zh-CN"/>
        </w:rPr>
        <w:t>文旅</w:t>
      </w:r>
      <w:r>
        <w:rPr>
          <w:rFonts w:hint="eastAsia" w:ascii="仿宋_GB2312" w:eastAsia="仿宋_GB2312"/>
          <w:b w:val="0"/>
          <w:sz w:val="32"/>
          <w:szCs w:val="32"/>
        </w:rPr>
        <w:t>信息共计</w:t>
      </w:r>
      <w:r>
        <w:rPr>
          <w:rFonts w:hint="eastAsia" w:ascii="仿宋_GB2312" w:eastAsia="仿宋_GB2312"/>
          <w:b w:val="0"/>
          <w:sz w:val="32"/>
          <w:szCs w:val="32"/>
          <w:lang w:val="en-US" w:eastAsia="zh-CN"/>
        </w:rPr>
        <w:t>45</w:t>
      </w:r>
      <w:r>
        <w:rPr>
          <w:rFonts w:hint="eastAsia" w:ascii="仿宋_GB2312" w:eastAsia="仿宋_GB2312"/>
          <w:b w:val="0"/>
          <w:sz w:val="32"/>
          <w:szCs w:val="32"/>
        </w:rPr>
        <w:t>条，主要以政府门户网站、微博、新闻媒体等形式公开。</w:t>
      </w:r>
    </w:p>
    <w:p>
      <w:pPr>
        <w:ind w:firstLine="420"/>
        <w:rPr>
          <w:rFonts w:hint="eastAsia" w:ascii="仿宋_GB2312" w:eastAsia="仿宋_GB2312"/>
          <w:b w:val="0"/>
          <w:sz w:val="32"/>
          <w:szCs w:val="32"/>
        </w:rPr>
      </w:pPr>
      <w:r>
        <w:rPr>
          <w:rFonts w:hint="eastAsia" w:ascii="仿宋_GB2312" w:eastAsia="仿宋_GB2312"/>
          <w:b w:val="0"/>
          <w:sz w:val="32"/>
          <w:szCs w:val="32"/>
        </w:rPr>
        <w:t xml:space="preserve">（二） </w:t>
      </w:r>
      <w:r>
        <w:rPr>
          <w:rFonts w:hint="eastAsia" w:ascii="仿宋_GB2312" w:eastAsia="仿宋_GB2312"/>
          <w:b w:val="0"/>
          <w:sz w:val="32"/>
          <w:szCs w:val="32"/>
          <w:lang w:eastAsia="zh-CN"/>
        </w:rPr>
        <w:t>2020</w:t>
      </w:r>
      <w:r>
        <w:rPr>
          <w:rFonts w:hint="eastAsia" w:ascii="仿宋_GB2312" w:eastAsia="仿宋_GB2312"/>
          <w:b w:val="0"/>
          <w:sz w:val="32"/>
          <w:szCs w:val="32"/>
        </w:rPr>
        <w:t>年，我局未出现因政府信息公开申请行政复议、提起行政诉讼的情况发生。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1"/>
        <w:jc w:val="both"/>
        <w:rPr>
          <w:rFonts w:hint="eastAsia" w:ascii="仿宋_GB2312" w:hAnsi="仿宋_GB2312" w:eastAsia="仿宋_GB2312" w:cs="仿宋_GB2312"/>
          <w:i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1"/>
        <w:jc w:val="both"/>
        <w:rPr>
          <w:rFonts w:hint="eastAsia" w:ascii="仿宋_GB2312" w:hAnsi="仿宋_GB2312" w:eastAsia="仿宋_GB2312" w:cs="仿宋_GB2312"/>
          <w:i w:val="0"/>
          <w:caps w:val="0"/>
          <w:color w:val="auto"/>
          <w:spacing w:val="0"/>
          <w:sz w:val="32"/>
          <w:szCs w:val="32"/>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3120"/>
        <w:gridCol w:w="1875"/>
        <w:gridCol w:w="22"/>
        <w:gridCol w:w="1269"/>
        <w:gridCol w:w="188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8170" w:type="dxa"/>
            <w:gridSpan w:val="5"/>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信息内容</w:t>
            </w:r>
          </w:p>
        </w:tc>
        <w:tc>
          <w:tcPr>
            <w:tcW w:w="187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本年新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制作数量</w:t>
            </w:r>
          </w:p>
        </w:tc>
        <w:tc>
          <w:tcPr>
            <w:tcW w:w="12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本年新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公开数量</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对外公开总数量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规章</w:t>
            </w:r>
          </w:p>
        </w:tc>
        <w:tc>
          <w:tcPr>
            <w:tcW w:w="187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2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rPr>
              <w:t>规范性文件</w:t>
            </w:r>
          </w:p>
        </w:tc>
        <w:tc>
          <w:tcPr>
            <w:tcW w:w="187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2</w:t>
            </w:r>
          </w:p>
        </w:tc>
        <w:tc>
          <w:tcPr>
            <w:tcW w:w="12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2</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Theme="minorEastAsia"/>
                <w:lang w:eastAsia="zh-CN"/>
              </w:rPr>
            </w:pPr>
            <w:r>
              <w:rPr>
                <w:rFonts w:hint="eastAsia" w:ascii="微软雅黑" w:hAnsi="微软雅黑" w:eastAsia="微软雅黑" w:cs="微软雅黑"/>
                <w:i w:val="0"/>
                <w:caps w:val="0"/>
                <w:color w:val="666666"/>
                <w:spacing w:val="0"/>
                <w:sz w:val="24"/>
                <w:szCs w:val="24"/>
                <w:lang w:eastAsia="zh-CN"/>
              </w:rPr>
              <w:t>其他主动公开文件</w:t>
            </w:r>
          </w:p>
        </w:tc>
        <w:tc>
          <w:tcPr>
            <w:tcW w:w="187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4</w:t>
            </w:r>
          </w:p>
        </w:tc>
        <w:tc>
          <w:tcPr>
            <w:tcW w:w="12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4</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4</w:t>
            </w:r>
            <w:bookmarkStart w:id="0" w:name="_GoBack"/>
            <w:bookmarkEnd w:id="0"/>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70" w:type="dxa"/>
            <w:gridSpan w:val="5"/>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信息内容</w:t>
            </w:r>
          </w:p>
        </w:tc>
        <w:tc>
          <w:tcPr>
            <w:tcW w:w="187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上一年项目数量</w:t>
            </w:r>
          </w:p>
        </w:tc>
        <w:tc>
          <w:tcPr>
            <w:tcW w:w="12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本年增/减</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行政许可</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269"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eastAsiaTheme="minorEastAsia"/>
                <w:lang w:val="en-US" w:eastAsia="zh-CN"/>
              </w:rPr>
            </w:pPr>
            <w:r>
              <w:rPr>
                <w:rFonts w:hint="eastAsia" w:ascii="微软雅黑" w:hAnsi="微软雅黑" w:eastAsia="微软雅黑" w:cs="微软雅黑"/>
                <w:i w:val="0"/>
                <w:caps w:val="0"/>
                <w:color w:val="666666"/>
                <w:spacing w:val="0"/>
                <w:sz w:val="24"/>
                <w:szCs w:val="24"/>
              </w:rPr>
              <w:t>0</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eastAsiaTheme="minorEastAsia"/>
                <w:lang w:val="en-US" w:eastAsia="zh-CN"/>
              </w:rPr>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其他对外管理服务事项</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269"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70" w:type="dxa"/>
            <w:gridSpan w:val="5"/>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信息内容</w:t>
            </w:r>
          </w:p>
        </w:tc>
        <w:tc>
          <w:tcPr>
            <w:tcW w:w="1875"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上一年项目数量</w:t>
            </w:r>
          </w:p>
        </w:tc>
        <w:tc>
          <w:tcPr>
            <w:tcW w:w="129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本年增/减</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行政处罚</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269"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行政强制</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269"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1884"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70" w:type="dxa"/>
            <w:gridSpan w:val="5"/>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信息内容</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上一年项目数量</w:t>
            </w:r>
          </w:p>
        </w:tc>
        <w:tc>
          <w:tcPr>
            <w:tcW w:w="3153"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本年增/减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行政事业性收费</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3153"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70" w:type="dxa"/>
            <w:gridSpan w:val="5"/>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第二十条第（九）项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信息内容</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采购项目数量</w:t>
            </w:r>
          </w:p>
        </w:tc>
        <w:tc>
          <w:tcPr>
            <w:tcW w:w="3153"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采购总金额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政府集中采购</w:t>
            </w: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Theme="minorEastAsia"/>
                <w:lang w:eastAsia="zh-CN"/>
              </w:rPr>
            </w:pPr>
            <w:r>
              <w:rPr>
                <w:rFonts w:hint="eastAsia" w:ascii="微软雅黑" w:hAnsi="微软雅黑" w:eastAsia="微软雅黑" w:cs="微软雅黑"/>
                <w:i w:val="0"/>
                <w:caps w:val="0"/>
                <w:color w:val="666666"/>
                <w:spacing w:val="0"/>
                <w:sz w:val="24"/>
                <w:szCs w:val="24"/>
                <w:lang w:val="en-US" w:eastAsia="zh-CN"/>
              </w:rPr>
              <w:t>0</w:t>
            </w:r>
          </w:p>
        </w:tc>
        <w:tc>
          <w:tcPr>
            <w:tcW w:w="3153"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eastAsiaTheme="minorEastAsia"/>
                <w:lang w:eastAsia="zh-CN"/>
              </w:rPr>
            </w:pPr>
            <w:r>
              <w:rPr>
                <w:rFonts w:hint="eastAsia" w:ascii="微软雅黑" w:hAnsi="微软雅黑" w:eastAsia="微软雅黑" w:cs="微软雅黑"/>
                <w:i w:val="0"/>
                <w:caps w:val="0"/>
                <w:color w:val="666666"/>
                <w:spacing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微软雅黑" w:hAnsi="微软雅黑" w:eastAsia="微软雅黑" w:cs="微软雅黑"/>
                <w:i w:val="0"/>
                <w:caps w:val="0"/>
                <w:color w:val="666666"/>
                <w:spacing w:val="0"/>
                <w:sz w:val="24"/>
                <w:szCs w:val="24"/>
              </w:rPr>
            </w:pPr>
          </w:p>
        </w:tc>
        <w:tc>
          <w:tcPr>
            <w:tcW w:w="1897"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微软雅黑" w:hAnsi="微软雅黑" w:eastAsia="微软雅黑" w:cs="微软雅黑"/>
                <w:i w:val="0"/>
                <w:caps w:val="0"/>
                <w:color w:val="666666"/>
                <w:spacing w:val="0"/>
                <w:sz w:val="24"/>
                <w:szCs w:val="24"/>
                <w:lang w:val="en-US" w:eastAsia="zh-CN"/>
              </w:rPr>
            </w:pPr>
          </w:p>
        </w:tc>
        <w:tc>
          <w:tcPr>
            <w:tcW w:w="3153" w:type="dxa"/>
            <w:gridSpan w:val="2"/>
            <w:tcBorders>
              <w:top w:val="outset" w:color="000000" w:sz="6" w:space="0"/>
              <w:left w:val="outset" w:color="000000" w:sz="6" w:space="0"/>
              <w:bottom w:val="outset" w:color="000000" w:sz="6" w:space="0"/>
              <w:right w:val="outset" w:color="000000" w:sz="6" w:space="0"/>
            </w:tcBorders>
            <w:shd w:val="clear" w:color="auto" w:fill="FFFFFF"/>
            <w:noWrap/>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微软雅黑" w:hAnsi="微软雅黑" w:eastAsia="微软雅黑" w:cs="微软雅黑"/>
                <w:i w:val="0"/>
                <w:caps w:val="0"/>
                <w:color w:val="666666"/>
                <w:spacing w:val="0"/>
                <w:sz w:val="24"/>
                <w:szCs w:val="24"/>
                <w:lang w:val="en-US" w:eastAsia="zh-CN"/>
              </w:rPr>
            </w:pPr>
          </w:p>
        </w:tc>
      </w:tr>
    </w:tbl>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 w:hAnsi="仿宋" w:eastAsia="仿宋" w:cs="仿宋"/>
          <w:b/>
          <w:bCs/>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14:textFill>
            <w14:solidFill>
              <w14:schemeClr w14:val="tx1"/>
            </w14:solidFill>
          </w14:textFill>
        </w:rPr>
        <w:t>收到和处理政府信息公开申请情况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auto"/>
          <w:spacing w:val="0"/>
          <w:sz w:val="32"/>
          <w:szCs w:val="32"/>
          <w:shd w:val="clear" w:fill="FFFFFF"/>
        </w:rPr>
        <w:t>按照“一网覆盖、一次办好”的总体要求，我局在网站上提供了依申请公开的流程、表格下载和直接发送等服务。</w:t>
      </w: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598"/>
        <w:gridCol w:w="838"/>
        <w:gridCol w:w="1864"/>
        <w:gridCol w:w="733"/>
        <w:gridCol w:w="681"/>
        <w:gridCol w:w="681"/>
        <w:gridCol w:w="733"/>
        <w:gridCol w:w="875"/>
        <w:gridCol w:w="655"/>
        <w:gridCol w:w="6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3555"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（本列数据的勾稽关系为：第一项加第二项之和，等于第三项加第四项之和）</w:t>
            </w:r>
          </w:p>
        </w:tc>
        <w:tc>
          <w:tcPr>
            <w:tcW w:w="552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pPr>
            <w:r>
              <w:rPr>
                <w:rFonts w:hint="eastAsia" w:ascii="微软雅黑" w:hAnsi="微软雅黑" w:eastAsia="微软雅黑" w:cs="微软雅黑"/>
                <w:i w:val="0"/>
                <w:caps w:val="0"/>
                <w:color w:val="666666"/>
                <w:spacing w:val="0"/>
                <w:sz w:val="24"/>
                <w:szCs w:val="24"/>
              </w:rPr>
              <w:t>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555"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1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自然人</w:t>
            </w:r>
          </w:p>
        </w:tc>
        <w:tc>
          <w:tcPr>
            <w:tcW w:w="400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pPr>
            <w:r>
              <w:rPr>
                <w:rFonts w:hint="eastAsia" w:ascii="微软雅黑" w:hAnsi="微软雅黑" w:eastAsia="微软雅黑" w:cs="微软雅黑"/>
                <w:i w:val="0"/>
                <w:caps w:val="0"/>
                <w:color w:val="666666"/>
                <w:spacing w:val="0"/>
                <w:sz w:val="24"/>
                <w:szCs w:val="24"/>
              </w:rPr>
              <w:t>法人或其他组织</w:t>
            </w: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555"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商业企业</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科研机构</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社会公益组织</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法律服务机构</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其他</w:t>
            </w: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55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一、本年新收政府信息公开申请数量</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55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二、上年结转政府信息公开申请数量</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三、本年度办理结果</w:t>
            </w:r>
          </w:p>
        </w:tc>
        <w:tc>
          <w:tcPr>
            <w:tcW w:w="294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（一）予以公开</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default"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50" w:hRule="atLeast"/>
        </w:trPr>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94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（二）部分公开（区分处理的，只计这一情形，不计其他情形）</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jc w:val="both"/>
              <w:rPr>
                <w:rFonts w:hint="default"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lang w:val="en-US" w:eastAsia="zh-CN"/>
              </w:rPr>
            </w:pPr>
            <w:r>
              <w:rPr>
                <w:rFonts w:hint="eastAsia" w:ascii="微软雅黑" w:hAnsi="微软雅黑" w:eastAsia="微软雅黑" w:cs="微软雅黑"/>
                <w:i w:val="0"/>
                <w:caps w:val="0"/>
                <w:color w:val="666666"/>
                <w:spacing w:val="0"/>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（三）不予公开</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1.属于国家秘密</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2.其他法律行政法规禁止公开</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3.危及“三安全一稳定”</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4.保护第三方合法权益</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5.属于三类内部事务信息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6.属于四类过程性信息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7.属于行政执法案卷</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8.属于行政查询事项</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（四）无法提供</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1.本机关不掌握相关政府信息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2.没有现成信息需要另行制作</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43" w:hRule="atLeast"/>
        </w:trPr>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3.补正后申请内容仍不明确</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（五）不予处理</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1.信访举报投诉类申请</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2.重复申请</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3.要求提供公开出版物</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4.无正当理由大量反复申请</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5.要求行政机关确认或重新出具已获取信息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94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（六）其他处理</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294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（七）总计</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55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四、结转下年度继续办理</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bl>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b/>
          <w:bCs/>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14:textFill>
            <w14:solidFill>
              <w14:schemeClr w14:val="tx1"/>
            </w14:solidFill>
          </w14:textFill>
        </w:rPr>
        <w:t>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1"/>
        <w:jc w:val="left"/>
        <w:rPr>
          <w:rFonts w:hint="eastAsia" w:ascii="仿宋" w:hAnsi="仿宋" w:eastAsia="仿宋" w:cs="仿宋"/>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年，我局</w:t>
      </w:r>
      <w:r>
        <w:rPr>
          <w:rFonts w:hint="eastAsia" w:ascii="仿宋_GB2312" w:hAnsi="仿宋_GB2312" w:eastAsia="仿宋_GB2312" w:cs="仿宋_GB2312"/>
          <w:i w:val="0"/>
          <w:caps w:val="0"/>
          <w:color w:val="auto"/>
          <w:spacing w:val="0"/>
          <w:sz w:val="32"/>
          <w:szCs w:val="32"/>
          <w:shd w:val="clear" w:fill="FFFFFF"/>
          <w:lang w:eastAsia="zh-CN"/>
        </w:rPr>
        <w:t>无</w:t>
      </w:r>
      <w:r>
        <w:rPr>
          <w:rFonts w:hint="eastAsia" w:ascii="仿宋_GB2312" w:hAnsi="仿宋_GB2312" w:eastAsia="仿宋_GB2312" w:cs="仿宋_GB2312"/>
          <w:i w:val="0"/>
          <w:caps w:val="0"/>
          <w:color w:val="auto"/>
          <w:spacing w:val="0"/>
          <w:sz w:val="32"/>
          <w:szCs w:val="32"/>
          <w:shd w:val="clear" w:fill="FFFFFF"/>
        </w:rPr>
        <w:t>政府信息公开引起的行政复议案件。</w:t>
      </w: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549"/>
        <w:gridCol w:w="550"/>
        <w:gridCol w:w="550"/>
        <w:gridCol w:w="550"/>
        <w:gridCol w:w="614"/>
        <w:gridCol w:w="512"/>
        <w:gridCol w:w="550"/>
        <w:gridCol w:w="550"/>
        <w:gridCol w:w="550"/>
        <w:gridCol w:w="563"/>
        <w:gridCol w:w="550"/>
        <w:gridCol w:w="550"/>
        <w:gridCol w:w="550"/>
        <w:gridCol w:w="550"/>
        <w:gridCol w:w="57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307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行政复议</w:t>
            </w:r>
          </w:p>
        </w:tc>
        <w:tc>
          <w:tcPr>
            <w:tcW w:w="6000" w:type="dxa"/>
            <w:gridSpan w:val="10"/>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结果维持</w:t>
            </w:r>
          </w:p>
        </w:tc>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结果纠正</w:t>
            </w:r>
          </w:p>
        </w:tc>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其他结果</w:t>
            </w:r>
          </w:p>
        </w:tc>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尚未审结</w:t>
            </w:r>
          </w:p>
        </w:tc>
        <w:tc>
          <w:tcPr>
            <w:tcW w:w="66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总计</w:t>
            </w:r>
          </w:p>
        </w:tc>
        <w:tc>
          <w:tcPr>
            <w:tcW w:w="297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未经复议直接起诉</w:t>
            </w:r>
          </w:p>
        </w:tc>
        <w:tc>
          <w:tcPr>
            <w:tcW w:w="303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66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666666"/>
                <w:spacing w:val="0"/>
                <w:sz w:val="24"/>
                <w:szCs w:val="24"/>
              </w:rPr>
            </w:pP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结果维持</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结果纠正</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其他结果</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尚未审结</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总计</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结果维持</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结果纠正</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其他结果</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尚未审结</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c>
          <w:tcPr>
            <w:tcW w:w="6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caps w:val="0"/>
                <w:color w:val="666666"/>
                <w:spacing w:val="0"/>
                <w:sz w:val="24"/>
                <w:szCs w:val="24"/>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14:textFill>
            <w14:solidFill>
              <w14:schemeClr w14:val="tx1"/>
            </w14:solidFill>
          </w14:textFill>
        </w:rPr>
        <w:t>五、存在的主要问题及改进情况</w:t>
      </w:r>
    </w:p>
    <w:p>
      <w:pPr>
        <w:ind w:firstLine="420"/>
        <w:rPr>
          <w:rFonts w:hint="eastAsia" w:ascii="仿宋_GB2312" w:eastAsia="仿宋_GB2312"/>
          <w:b w:val="0"/>
          <w:sz w:val="32"/>
          <w:szCs w:val="32"/>
        </w:rPr>
      </w:pPr>
      <w:r>
        <w:rPr>
          <w:rFonts w:hint="eastAsia" w:ascii="仿宋_GB2312" w:eastAsia="仿宋_GB2312"/>
          <w:b w:val="0"/>
          <w:sz w:val="32"/>
          <w:szCs w:val="32"/>
        </w:rPr>
        <w:t>在政府信息公开工作中，主要存在以下问题：</w:t>
      </w:r>
      <w:r>
        <w:rPr>
          <w:rFonts w:hint="eastAsia" w:ascii="仿宋_GB2312" w:eastAsia="仿宋_GB2312"/>
          <w:b/>
          <w:bCs/>
          <w:sz w:val="32"/>
          <w:szCs w:val="32"/>
        </w:rPr>
        <w:t>一是</w:t>
      </w:r>
      <w:r>
        <w:rPr>
          <w:rFonts w:hint="eastAsia" w:ascii="仿宋_GB2312" w:eastAsia="仿宋_GB2312"/>
          <w:b w:val="0"/>
          <w:sz w:val="32"/>
          <w:szCs w:val="32"/>
        </w:rPr>
        <w:t>政府信息公开工作人员业务水平还有待提高；</w:t>
      </w:r>
      <w:r>
        <w:rPr>
          <w:rFonts w:hint="eastAsia" w:ascii="仿宋_GB2312" w:eastAsia="仿宋_GB2312"/>
          <w:b/>
          <w:bCs/>
          <w:sz w:val="32"/>
          <w:szCs w:val="32"/>
        </w:rPr>
        <w:t>二是</w:t>
      </w:r>
      <w:r>
        <w:rPr>
          <w:rFonts w:hint="eastAsia" w:ascii="仿宋_GB2312" w:eastAsia="仿宋_GB2312"/>
          <w:b w:val="0"/>
          <w:sz w:val="32"/>
          <w:szCs w:val="32"/>
        </w:rPr>
        <w:t>政府信息公开的深度广度不够，公开形式不够丰富；</w:t>
      </w:r>
      <w:r>
        <w:rPr>
          <w:rFonts w:hint="eastAsia" w:ascii="仿宋_GB2312" w:eastAsia="仿宋_GB2312"/>
          <w:b/>
          <w:bCs/>
          <w:sz w:val="32"/>
          <w:szCs w:val="32"/>
        </w:rPr>
        <w:t>三是</w:t>
      </w:r>
      <w:r>
        <w:rPr>
          <w:rFonts w:hint="eastAsia" w:ascii="仿宋_GB2312" w:eastAsia="仿宋_GB2312"/>
          <w:b w:val="0"/>
          <w:sz w:val="32"/>
          <w:szCs w:val="32"/>
        </w:rPr>
        <w:t>信息公开载体建设还需要进一步加强。针对存在的问题，在今后的工作，我局将进一步加大主动公开工作力度，加强对干部职工的学习和培训，全面抓好政府信息公开载体建设，健全完善制度和体制机制，强化政府信息公开工作监督检查，努力推动我局政府信息公开工作再上新台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caps w:val="0"/>
          <w:color w:val="000000" w:themeColor="text1"/>
          <w:spacing w:val="0"/>
          <w:sz w:val="32"/>
          <w:szCs w:val="32"/>
          <w14:textFill>
            <w14:solidFill>
              <w14:schemeClr w14:val="tx1"/>
            </w14:solidFill>
          </w14:textFill>
        </w:rPr>
      </w:pPr>
      <w:r>
        <w:rPr>
          <w:rFonts w:hint="eastAsia" w:ascii="仿宋" w:hAnsi="仿宋" w:eastAsia="仿宋" w:cs="仿宋"/>
          <w:b/>
          <w:bCs/>
          <w:i w:val="0"/>
          <w:caps w:val="0"/>
          <w:color w:val="000000" w:themeColor="text1"/>
          <w:spacing w:val="0"/>
          <w:sz w:val="32"/>
          <w:szCs w:val="32"/>
          <w14:textFill>
            <w14:solidFill>
              <w14:schemeClr w14:val="tx1"/>
            </w14:solidFill>
          </w14:textFill>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无</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 xml:space="preserve">                           2021年1月14日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 xml:space="preserve">   崇阳县文化和旅游局  </w:t>
      </w:r>
    </w:p>
    <w:p>
      <w:pPr>
        <w:jc w:val="right"/>
        <w:rPr>
          <w:rFonts w:hint="default"/>
          <w:b w:val="0"/>
          <w:b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4D93"/>
    <w:multiLevelType w:val="singleLevel"/>
    <w:tmpl w:val="25AD4D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33FD8"/>
    <w:rsid w:val="196B78C8"/>
    <w:rsid w:val="386572B5"/>
    <w:rsid w:val="4BBB1AD0"/>
    <w:rsid w:val="4FDA179A"/>
    <w:rsid w:val="64612D9A"/>
    <w:rsid w:val="67946398"/>
    <w:rsid w:val="762B29FD"/>
    <w:rsid w:val="7AED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2021-01-07T02:15:00Z</dcterms:created>
  <dc:creator>CYXD</dc:creator>
  <cp:lastModifiedBy>     。</cp:lastModifiedBy>
  <cp:lastPrinted>2021-01-07T07:51:00Z</cp:lastPrinted>
  <dcterms:modified xsi:type="dcterms:W3CDTF">2021-01-18T01:39:24Z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