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4"/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t>一、总体情况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t>　　按照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lang w:eastAsia="zh-CN"/>
        </w:rPr>
        <w:t>湖北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t>省政府信息公开工作安排，我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  <w:lang w:eastAsia="zh-CN"/>
        </w:rPr>
        <w:t>单位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t>认真贯彻落实《中华人民共和国政府信息公开条例》，切实落实工作机制，不断完善各项制度，通过网站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t>及其它媒体积极向社会公开政务信息。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t>　　1.主动公开政府信息情况。2019年，全年议案提案办结数量13件；通过渭南市水务局网站、渭南水务微信公众号发布动态信息 652条；按照政府信息公开要求，积极主动在局门户网站公开各类信息 437条。政务动态类信息 334条，政务公开类信息137条，公众服务类信息 56条，专题专栏类信息 11条，其他信息130条;收到咨询投诉类信息1条，已按时办结。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t>　　2.平台建设方面。成立全市水利信息系统宣传工领导组办公室，强化政务公开服务制度和经费保障，全面提高局门户网站、渭南水务微信公众号政府信息恶开服务水平。政务服务事项已全部链接陕西政务服务网，方便群众网上办事。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t>　　3.依申请公开政府信息情况。2019年我局未收到政府信息公开申请。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  <w:t>　　4.政府信息公开行政复议、行政诉讼情况。2019年我局未收到公开行政复议、行政诉讼的情况。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6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2021-01-07T08:19:48Z</dcterms:created>
  <dc:creator>Administrator</dc:creator>
  <cp:lastModifiedBy>Administrator</cp:lastModifiedBy>
  <dcterms:modified xsi:type="dcterms:W3CDTF">2021-01-07T08:24:49Z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