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62891">
      <w:pPr>
        <w:jc w:val="center"/>
        <w:rPr>
          <w:rFonts w:ascii="楷体" w:hAnsi="楷体" w:eastAsia="楷体"/>
          <w:b/>
          <w:sz w:val="32"/>
          <w:szCs w:val="32"/>
        </w:rPr>
      </w:pPr>
      <w:r>
        <w:rPr>
          <w:rFonts w:hint="eastAsia" w:ascii="华文中宋" w:hAnsi="华文中宋" w:eastAsia="华文中宋"/>
          <w:b/>
          <w:sz w:val="36"/>
          <w:szCs w:val="36"/>
        </w:rPr>
        <w:t xml:space="preserve">             </w:t>
      </w:r>
    </w:p>
    <w:p w14:paraId="20420EAE">
      <w:pPr>
        <w:rPr>
          <w:rFonts w:ascii="华文中宋" w:hAnsi="华文中宋" w:eastAsia="华文中宋"/>
          <w:b/>
          <w:sz w:val="10"/>
          <w:szCs w:val="10"/>
        </w:rPr>
      </w:pPr>
    </w:p>
    <w:p w14:paraId="7747D0D4">
      <w:pPr>
        <w:jc w:val="center"/>
        <w:rPr>
          <w:rFonts w:ascii="华文中宋" w:hAnsi="华文中宋" w:eastAsia="华文中宋"/>
          <w:b/>
          <w:sz w:val="52"/>
          <w:szCs w:val="52"/>
        </w:rPr>
      </w:pPr>
      <w:r>
        <w:rPr>
          <w:rFonts w:hint="eastAsia" w:ascii="华文中宋" w:hAnsi="华文中宋" w:eastAsia="华文中宋"/>
          <w:b/>
          <w:sz w:val="52"/>
          <w:szCs w:val="52"/>
        </w:rPr>
        <w:t>崇阳县预算绩效评价报告</w:t>
      </w:r>
    </w:p>
    <w:p w14:paraId="11CE6E49">
      <w:pPr>
        <w:rPr>
          <w:rFonts w:ascii="黑体" w:hAnsi="黑体" w:eastAsia="黑体"/>
          <w:sz w:val="10"/>
          <w:szCs w:val="10"/>
        </w:rPr>
      </w:pPr>
    </w:p>
    <w:p w14:paraId="0DCFEDB5">
      <w:pPr>
        <w:ind w:firstLine="2831" w:firstLineChars="641"/>
        <w:rPr>
          <w:rFonts w:ascii="楷体" w:hAnsi="楷体" w:eastAsia="楷体"/>
          <w:b/>
          <w:sz w:val="44"/>
          <w:szCs w:val="44"/>
        </w:rPr>
      </w:pPr>
      <w:r>
        <w:rPr>
          <w:rFonts w:hint="eastAsia" w:ascii="楷体" w:hAnsi="楷体" w:eastAsia="楷体"/>
          <w:b/>
          <w:sz w:val="44"/>
          <w:szCs w:val="44"/>
        </w:rPr>
        <w:t>（缩略版）</w:t>
      </w:r>
    </w:p>
    <w:p w14:paraId="3015B7DC">
      <w:pPr>
        <w:rPr>
          <w:rFonts w:ascii="黑体" w:hAnsi="黑体" w:eastAsia="黑体"/>
          <w:sz w:val="32"/>
          <w:szCs w:val="32"/>
        </w:rPr>
      </w:pPr>
    </w:p>
    <w:p w14:paraId="2D008037">
      <w:pPr>
        <w:rPr>
          <w:rFonts w:ascii="黑体" w:hAnsi="黑体" w:eastAsia="黑体"/>
          <w:sz w:val="32"/>
          <w:szCs w:val="32"/>
        </w:rPr>
      </w:pPr>
    </w:p>
    <w:p w14:paraId="211064A7">
      <w:pPr>
        <w:rPr>
          <w:rFonts w:ascii="黑体" w:hAnsi="黑体" w:eastAsia="黑体"/>
          <w:sz w:val="32"/>
          <w:szCs w:val="32"/>
        </w:rPr>
      </w:pPr>
    </w:p>
    <w:p w14:paraId="167D83FB">
      <w:pPr>
        <w:rPr>
          <w:rFonts w:ascii="黑体" w:hAnsi="黑体" w:eastAsia="黑体"/>
          <w:sz w:val="32"/>
          <w:szCs w:val="32"/>
        </w:rPr>
      </w:pPr>
    </w:p>
    <w:p w14:paraId="58AACC06">
      <w:pPr>
        <w:rPr>
          <w:rFonts w:ascii="黑体" w:hAnsi="黑体" w:eastAsia="黑体"/>
          <w:sz w:val="32"/>
          <w:szCs w:val="32"/>
        </w:rPr>
      </w:pPr>
    </w:p>
    <w:p w14:paraId="753A83E6">
      <w:pPr>
        <w:rPr>
          <w:rFonts w:ascii="华文中宋" w:hAnsi="华文中宋" w:eastAsia="华文中宋" w:cs="楷体"/>
          <w:sz w:val="36"/>
          <w:szCs w:val="36"/>
        </w:rPr>
      </w:pPr>
    </w:p>
    <w:p w14:paraId="023ADF89">
      <w:pPr>
        <w:ind w:left="1800" w:hanging="1800" w:hangingChars="500"/>
        <w:rPr>
          <w:rFonts w:ascii="华文中宋" w:hAnsi="华文中宋" w:eastAsia="华文中宋" w:cs="楷体"/>
          <w:sz w:val="36"/>
          <w:szCs w:val="36"/>
        </w:rPr>
      </w:pPr>
      <w:r>
        <w:rPr>
          <w:rFonts w:hint="eastAsia" w:ascii="华文中宋" w:hAnsi="华文中宋" w:eastAsia="华文中宋" w:cs="楷体"/>
          <w:sz w:val="36"/>
          <w:szCs w:val="36"/>
        </w:rPr>
        <w:t>报告名称：部门整体支出绩效评价报告</w:t>
      </w:r>
    </w:p>
    <w:p w14:paraId="586A40BC">
      <w:pPr>
        <w:rPr>
          <w:rFonts w:ascii="华文中宋" w:hAnsi="华文中宋" w:eastAsia="华文中宋" w:cs="楷体"/>
          <w:sz w:val="36"/>
          <w:szCs w:val="36"/>
        </w:rPr>
      </w:pPr>
      <w:r>
        <w:rPr>
          <w:rFonts w:hint="eastAsia" w:ascii="华文中宋" w:hAnsi="华文中宋" w:eastAsia="华文中宋" w:cs="楷体"/>
          <w:sz w:val="36"/>
          <w:szCs w:val="36"/>
        </w:rPr>
        <w:t>预算部门（单位）：崇阳县天城镇人民政府</w:t>
      </w:r>
    </w:p>
    <w:p w14:paraId="4A1A319F">
      <w:pPr>
        <w:rPr>
          <w:rFonts w:ascii="华文中宋" w:hAnsi="华文中宋" w:eastAsia="华文中宋" w:cs="楷体"/>
          <w:sz w:val="36"/>
          <w:szCs w:val="36"/>
        </w:rPr>
      </w:pPr>
      <w:r>
        <w:rPr>
          <w:rFonts w:hint="eastAsia" w:ascii="华文中宋" w:hAnsi="华文中宋" w:eastAsia="华文中宋" w:cs="楷体"/>
          <w:sz w:val="36"/>
          <w:szCs w:val="36"/>
        </w:rPr>
        <w:t>预算年度：20</w:t>
      </w:r>
      <w:r>
        <w:rPr>
          <w:rFonts w:ascii="华文中宋" w:hAnsi="华文中宋" w:eastAsia="华文中宋" w:cs="楷体"/>
          <w:sz w:val="36"/>
          <w:szCs w:val="36"/>
        </w:rPr>
        <w:t>20</w:t>
      </w:r>
      <w:r>
        <w:rPr>
          <w:rFonts w:hint="eastAsia" w:ascii="华文中宋" w:hAnsi="华文中宋" w:eastAsia="华文中宋" w:cs="楷体"/>
          <w:sz w:val="36"/>
          <w:szCs w:val="36"/>
        </w:rPr>
        <w:t>年度</w:t>
      </w:r>
    </w:p>
    <w:p w14:paraId="37F652C7">
      <w:pPr>
        <w:rPr>
          <w:rFonts w:ascii="华文中宋" w:hAnsi="华文中宋" w:eastAsia="华文中宋" w:cs="楷体"/>
          <w:sz w:val="36"/>
          <w:szCs w:val="36"/>
        </w:rPr>
      </w:pPr>
      <w:r>
        <w:rPr>
          <w:rFonts w:hint="eastAsia" w:ascii="华文中宋" w:hAnsi="华文中宋" w:eastAsia="华文中宋" w:cs="楷体"/>
          <w:sz w:val="36"/>
          <w:szCs w:val="36"/>
        </w:rPr>
        <w:t>评价类型：项目□    政策□   部门整体</w:t>
      </w:r>
      <w:r>
        <w:rPr>
          <w:rFonts w:hint="eastAsia" w:ascii="华文中宋" w:hAnsi="华文中宋" w:eastAsia="华文中宋" w:cs="楷体"/>
          <w:sz w:val="36"/>
          <w:szCs w:val="36"/>
        </w:rPr>
        <w:sym w:font="Wingdings 2" w:char="0052"/>
      </w:r>
    </w:p>
    <w:p w14:paraId="3E65E023">
      <w:pPr>
        <w:rPr>
          <w:rFonts w:ascii="华文中宋" w:hAnsi="华文中宋" w:eastAsia="华文中宋" w:cs="楷体"/>
          <w:sz w:val="36"/>
          <w:szCs w:val="36"/>
        </w:rPr>
      </w:pPr>
    </w:p>
    <w:p w14:paraId="635478B3">
      <w:pPr>
        <w:rPr>
          <w:rFonts w:ascii="华文中宋" w:hAnsi="华文中宋" w:eastAsia="华文中宋" w:cs="楷体"/>
          <w:sz w:val="36"/>
          <w:szCs w:val="36"/>
        </w:rPr>
      </w:pPr>
      <w:r>
        <w:rPr>
          <w:rFonts w:hint="eastAsia" w:ascii="华文中宋" w:hAnsi="华文中宋" w:eastAsia="华文中宋" w:cs="楷体"/>
          <w:sz w:val="36"/>
          <w:szCs w:val="36"/>
        </w:rPr>
        <w:t>评价单位：湖北恒信会计师事务有限公司</w:t>
      </w:r>
    </w:p>
    <w:p w14:paraId="13864103">
      <w:pPr>
        <w:rPr>
          <w:rFonts w:ascii="华文中宋" w:hAnsi="华文中宋" w:eastAsia="华文中宋" w:cs="楷体"/>
          <w:sz w:val="36"/>
          <w:szCs w:val="36"/>
        </w:rPr>
      </w:pPr>
      <w:r>
        <w:rPr>
          <w:rFonts w:hint="eastAsia" w:ascii="华文中宋" w:hAnsi="华文中宋" w:eastAsia="华文中宋" w:cs="楷体"/>
          <w:sz w:val="36"/>
          <w:szCs w:val="36"/>
        </w:rPr>
        <w:t>主评人1：吴思怡</w:t>
      </w:r>
    </w:p>
    <w:p w14:paraId="70980080">
      <w:pPr>
        <w:rPr>
          <w:rFonts w:ascii="华文中宋" w:hAnsi="华文中宋" w:eastAsia="华文中宋" w:cs="楷体"/>
          <w:sz w:val="36"/>
          <w:szCs w:val="36"/>
        </w:rPr>
      </w:pPr>
      <w:r>
        <w:rPr>
          <w:rFonts w:hint="eastAsia" w:ascii="华文中宋" w:hAnsi="华文中宋" w:eastAsia="华文中宋" w:cs="楷体"/>
          <w:sz w:val="36"/>
          <w:szCs w:val="36"/>
        </w:rPr>
        <w:t>主评人2：夏金平</w:t>
      </w:r>
    </w:p>
    <w:p w14:paraId="7E3575C9">
      <w:pPr>
        <w:rPr>
          <w:rFonts w:ascii="华文中宋" w:hAnsi="华文中宋" w:eastAsia="华文中宋" w:cs="楷体"/>
          <w:sz w:val="36"/>
          <w:szCs w:val="36"/>
        </w:rPr>
      </w:pPr>
      <w:r>
        <w:rPr>
          <w:rFonts w:hint="eastAsia" w:ascii="华文中宋" w:hAnsi="华文中宋" w:eastAsia="华文中宋" w:cs="楷体"/>
          <w:sz w:val="36"/>
          <w:szCs w:val="36"/>
        </w:rPr>
        <w:t>正式提交日期：202</w:t>
      </w:r>
      <w:r>
        <w:rPr>
          <w:rFonts w:ascii="华文中宋" w:hAnsi="华文中宋" w:eastAsia="华文中宋" w:cs="楷体"/>
          <w:sz w:val="36"/>
          <w:szCs w:val="36"/>
        </w:rPr>
        <w:t>1</w:t>
      </w:r>
      <w:r>
        <w:rPr>
          <w:rFonts w:hint="eastAsia" w:ascii="华文中宋" w:hAnsi="华文中宋" w:eastAsia="华文中宋" w:cs="楷体"/>
          <w:sz w:val="36"/>
          <w:szCs w:val="36"/>
        </w:rPr>
        <w:t>年7月9日</w:t>
      </w:r>
    </w:p>
    <w:p w14:paraId="5756CE61">
      <w:pPr>
        <w:rPr>
          <w:rFonts w:ascii="华文中宋" w:hAnsi="华文中宋" w:eastAsia="华文中宋" w:cs="楷体"/>
          <w:sz w:val="36"/>
          <w:szCs w:val="36"/>
        </w:rPr>
      </w:pPr>
    </w:p>
    <w:p w14:paraId="286216A8">
      <w:pPr>
        <w:rPr>
          <w:rFonts w:ascii="楷体" w:hAnsi="楷体" w:eastAsia="楷体" w:cs="楷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docGrid w:type="lines" w:linePitch="312" w:charSpace="0"/>
        </w:sectPr>
      </w:pPr>
    </w:p>
    <w:p w14:paraId="2DA8E3F4">
      <w:pPr>
        <w:pStyle w:val="7"/>
        <w:jc w:val="center"/>
        <w:rPr>
          <w:rFonts w:ascii="楷体" w:hAnsi="楷体" w:eastAsia="楷体" w:cs="仿宋"/>
          <w:b/>
          <w:sz w:val="36"/>
          <w:szCs w:val="36"/>
        </w:rPr>
      </w:pPr>
      <w:bookmarkStart w:id="0" w:name="_Toc17131"/>
      <w:r>
        <w:rPr>
          <w:rFonts w:hint="eastAsia" w:ascii="楷体" w:hAnsi="楷体" w:eastAsia="楷体" w:cs="仿宋"/>
          <w:b/>
          <w:sz w:val="36"/>
          <w:szCs w:val="36"/>
        </w:rPr>
        <w:t>目    录</w:t>
      </w:r>
    </w:p>
    <w:p w14:paraId="734761AE">
      <w:pPr>
        <w:jc w:val="center"/>
      </w:pPr>
    </w:p>
    <w:p w14:paraId="4D1AF3F6">
      <w:pPr>
        <w:pStyle w:val="14"/>
        <w:tabs>
          <w:tab w:val="right" w:leader="dot" w:pos="8306"/>
        </w:tabs>
        <w:rPr>
          <w:rFonts w:ascii="宋体" w:hAnsi="宋体" w:cs="宋体"/>
          <w:b/>
          <w:bCs/>
          <w:kern w:val="2"/>
          <w:sz w:val="28"/>
          <w:szCs w:val="28"/>
        </w:rPr>
      </w:pPr>
      <w:r>
        <w:rPr>
          <w:rFonts w:ascii="仿宋" w:hAnsi="仿宋" w:eastAsia="仿宋" w:cs="宋体"/>
          <w:kern w:val="2"/>
          <w:sz w:val="32"/>
          <w:szCs w:val="32"/>
        </w:rPr>
        <w:fldChar w:fldCharType="begin"/>
      </w:r>
      <w:r>
        <w:rPr>
          <w:rFonts w:ascii="仿宋" w:hAnsi="仿宋" w:eastAsia="仿宋" w:cs="宋体"/>
          <w:kern w:val="2"/>
          <w:sz w:val="32"/>
          <w:szCs w:val="32"/>
        </w:rPr>
        <w:instrText xml:space="preserve">TOC \o "1-3" \h \u </w:instrText>
      </w:r>
      <w:r>
        <w:rPr>
          <w:rFonts w:ascii="仿宋" w:hAnsi="仿宋" w:eastAsia="仿宋" w:cs="宋体"/>
          <w:kern w:val="2"/>
          <w:sz w:val="32"/>
          <w:szCs w:val="32"/>
        </w:rPr>
        <w:fldChar w:fldCharType="separate"/>
      </w:r>
      <w:r>
        <w:rPr>
          <w:rFonts w:hint="eastAsia" w:ascii="宋体" w:hAnsi="宋体" w:cs="宋体"/>
          <w:b/>
          <w:bCs/>
          <w:kern w:val="2"/>
          <w:sz w:val="28"/>
          <w:szCs w:val="28"/>
        </w:rPr>
        <w:t>第一部分</w:t>
      </w:r>
    </w:p>
    <w:p w14:paraId="71EDE54E">
      <w:pPr>
        <w:pStyle w:val="14"/>
        <w:tabs>
          <w:tab w:val="right" w:leader="dot" w:pos="8306"/>
        </w:tabs>
        <w:rPr>
          <w:rFonts w:ascii="宋体" w:hAnsi="宋体" w:cs="宋体"/>
          <w:b/>
          <w:bCs/>
          <w:kern w:val="2"/>
          <w:sz w:val="28"/>
          <w:szCs w:val="28"/>
        </w:rPr>
      </w:pPr>
      <w:r>
        <w:fldChar w:fldCharType="begin"/>
      </w:r>
      <w:r>
        <w:instrText xml:space="preserve"> HYPERLINK \l "_Toc10037" </w:instrText>
      </w:r>
      <w:r>
        <w:fldChar w:fldCharType="separate"/>
      </w:r>
      <w:r>
        <w:rPr>
          <w:rFonts w:hint="eastAsia" w:ascii="宋体" w:hAnsi="宋体" w:cs="宋体"/>
          <w:b/>
          <w:bCs/>
          <w:kern w:val="2"/>
          <w:sz w:val="28"/>
          <w:szCs w:val="28"/>
        </w:rPr>
        <w:t>评价结论</w:t>
      </w:r>
      <w:r>
        <w:rPr>
          <w:rFonts w:hint="eastAsia" w:ascii="宋体" w:hAnsi="宋体" w:cs="宋体"/>
          <w:b/>
          <w:bCs/>
          <w:kern w:val="2"/>
          <w:sz w:val="28"/>
          <w:szCs w:val="28"/>
        </w:rPr>
        <w:tab/>
      </w:r>
      <w:r>
        <w:rPr>
          <w:rFonts w:hint="eastAsia" w:ascii="宋体" w:hAnsi="宋体" w:cs="宋体"/>
          <w:b/>
          <w:bCs/>
          <w:kern w:val="2"/>
          <w:sz w:val="28"/>
          <w:szCs w:val="28"/>
        </w:rPr>
        <w:fldChar w:fldCharType="begin"/>
      </w:r>
      <w:r>
        <w:rPr>
          <w:rFonts w:hint="eastAsia" w:ascii="宋体" w:hAnsi="宋体" w:cs="宋体"/>
          <w:b/>
          <w:bCs/>
          <w:kern w:val="2"/>
          <w:sz w:val="28"/>
          <w:szCs w:val="28"/>
        </w:rPr>
        <w:instrText xml:space="preserve"> PAGEREF _Toc10037 \h </w:instrText>
      </w:r>
      <w:r>
        <w:rPr>
          <w:rFonts w:hint="eastAsia" w:ascii="宋体" w:hAnsi="宋体" w:cs="宋体"/>
          <w:b/>
          <w:bCs/>
          <w:kern w:val="2"/>
          <w:sz w:val="28"/>
          <w:szCs w:val="28"/>
        </w:rPr>
        <w:fldChar w:fldCharType="separate"/>
      </w:r>
      <w:r>
        <w:rPr>
          <w:rFonts w:hint="eastAsia" w:ascii="宋体" w:hAnsi="宋体" w:cs="宋体"/>
          <w:b/>
          <w:bCs/>
          <w:kern w:val="2"/>
          <w:sz w:val="28"/>
          <w:szCs w:val="28"/>
        </w:rPr>
        <w:t>1</w:t>
      </w:r>
      <w:r>
        <w:rPr>
          <w:rFonts w:hint="eastAsia" w:ascii="宋体" w:hAnsi="宋体" w:cs="宋体"/>
          <w:b/>
          <w:bCs/>
          <w:kern w:val="2"/>
          <w:sz w:val="28"/>
          <w:szCs w:val="28"/>
        </w:rPr>
        <w:fldChar w:fldCharType="end"/>
      </w:r>
      <w:r>
        <w:rPr>
          <w:rFonts w:hint="eastAsia" w:ascii="宋体" w:hAnsi="宋体" w:cs="宋体"/>
          <w:b/>
          <w:bCs/>
          <w:kern w:val="2"/>
          <w:sz w:val="28"/>
          <w:szCs w:val="28"/>
        </w:rPr>
        <w:fldChar w:fldCharType="end"/>
      </w:r>
    </w:p>
    <w:p w14:paraId="7A3C23DE">
      <w:pPr>
        <w:pStyle w:val="14"/>
        <w:tabs>
          <w:tab w:val="right" w:leader="dot" w:pos="8306"/>
        </w:tabs>
        <w:rPr>
          <w:rFonts w:ascii="宋体" w:hAnsi="宋体" w:cs="宋体"/>
          <w:b/>
          <w:bCs/>
          <w:kern w:val="2"/>
          <w:sz w:val="28"/>
          <w:szCs w:val="28"/>
        </w:rPr>
      </w:pPr>
      <w:r>
        <w:rPr>
          <w:rFonts w:hint="eastAsia" w:ascii="宋体" w:hAnsi="宋体" w:cs="宋体"/>
          <w:b/>
          <w:bCs/>
          <w:kern w:val="2"/>
          <w:sz w:val="28"/>
          <w:szCs w:val="28"/>
        </w:rPr>
        <w:t>第二部分</w:t>
      </w:r>
    </w:p>
    <w:p w14:paraId="516B465E">
      <w:pPr>
        <w:pStyle w:val="14"/>
        <w:tabs>
          <w:tab w:val="right" w:leader="dot" w:pos="8306"/>
        </w:tabs>
        <w:rPr>
          <w:rFonts w:ascii="宋体" w:hAnsi="宋体" w:cs="宋体"/>
          <w:b/>
          <w:bCs/>
          <w:kern w:val="2"/>
          <w:sz w:val="28"/>
          <w:szCs w:val="28"/>
        </w:rPr>
      </w:pPr>
      <w:r>
        <w:fldChar w:fldCharType="begin"/>
      </w:r>
      <w:r>
        <w:instrText xml:space="preserve"> HYPERLINK \l "_Toc10851" </w:instrText>
      </w:r>
      <w:r>
        <w:fldChar w:fldCharType="separate"/>
      </w:r>
      <w:r>
        <w:rPr>
          <w:rFonts w:hint="eastAsia" w:ascii="宋体" w:hAnsi="宋体" w:cs="宋体"/>
          <w:b/>
          <w:bCs/>
          <w:kern w:val="2"/>
          <w:sz w:val="28"/>
          <w:szCs w:val="28"/>
        </w:rPr>
        <w:t>佐证材料</w:t>
      </w:r>
      <w:r>
        <w:rPr>
          <w:rFonts w:hint="eastAsia" w:ascii="宋体" w:hAnsi="宋体" w:cs="宋体"/>
          <w:b/>
          <w:bCs/>
          <w:kern w:val="2"/>
          <w:sz w:val="28"/>
          <w:szCs w:val="28"/>
        </w:rPr>
        <w:tab/>
      </w:r>
      <w:r>
        <w:rPr>
          <w:rFonts w:hint="eastAsia" w:ascii="宋体" w:hAnsi="宋体" w:cs="宋体"/>
          <w:b/>
          <w:bCs/>
          <w:kern w:val="2"/>
          <w:sz w:val="28"/>
          <w:szCs w:val="28"/>
        </w:rPr>
        <w:t>5</w:t>
      </w:r>
      <w:r>
        <w:rPr>
          <w:rFonts w:hint="eastAsia" w:ascii="宋体" w:hAnsi="宋体" w:cs="宋体"/>
          <w:b/>
          <w:bCs/>
          <w:kern w:val="2"/>
          <w:sz w:val="28"/>
          <w:szCs w:val="28"/>
        </w:rPr>
        <w:fldChar w:fldCharType="end"/>
      </w:r>
    </w:p>
    <w:p w14:paraId="69ED0A7B">
      <w:pPr>
        <w:pStyle w:val="14"/>
        <w:tabs>
          <w:tab w:val="right" w:leader="dot" w:pos="8306"/>
        </w:tabs>
        <w:rPr>
          <w:rFonts w:ascii="仿宋" w:hAnsi="仿宋" w:eastAsia="仿宋" w:cs="宋体"/>
          <w:kern w:val="2"/>
          <w:sz w:val="28"/>
          <w:szCs w:val="28"/>
        </w:rPr>
      </w:pPr>
      <w:r>
        <w:fldChar w:fldCharType="begin"/>
      </w:r>
      <w:r>
        <w:instrText xml:space="preserve"> HYPERLINK \l "_Toc29819" </w:instrText>
      </w:r>
      <w:r>
        <w:fldChar w:fldCharType="separate"/>
      </w:r>
      <w:r>
        <w:rPr>
          <w:rFonts w:hint="eastAsia" w:ascii="仿宋" w:hAnsi="仿宋" w:eastAsia="仿宋" w:cs="宋体"/>
          <w:b/>
          <w:bCs/>
          <w:kern w:val="2"/>
          <w:sz w:val="28"/>
          <w:szCs w:val="28"/>
        </w:rPr>
        <w:t>2.1  基本情况</w:t>
      </w:r>
      <w:r>
        <w:rPr>
          <w:rFonts w:ascii="仿宋" w:hAnsi="仿宋" w:eastAsia="仿宋" w:cs="宋体"/>
          <w:b/>
          <w:bCs/>
          <w:kern w:val="2"/>
          <w:sz w:val="28"/>
          <w:szCs w:val="28"/>
        </w:rPr>
        <w:tab/>
      </w:r>
      <w:r>
        <w:rPr>
          <w:rFonts w:hint="eastAsia" w:ascii="仿宋" w:hAnsi="仿宋" w:eastAsia="仿宋" w:cs="宋体"/>
          <w:b/>
          <w:bCs/>
          <w:kern w:val="2"/>
          <w:sz w:val="28"/>
          <w:szCs w:val="28"/>
        </w:rPr>
        <w:t>5</w:t>
      </w:r>
      <w:r>
        <w:rPr>
          <w:rFonts w:hint="eastAsia" w:ascii="仿宋" w:hAnsi="仿宋" w:eastAsia="仿宋" w:cs="宋体"/>
          <w:b/>
          <w:bCs/>
          <w:kern w:val="2"/>
          <w:sz w:val="28"/>
          <w:szCs w:val="28"/>
        </w:rPr>
        <w:fldChar w:fldCharType="end"/>
      </w:r>
    </w:p>
    <w:p w14:paraId="4EC4DB89">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"_Toc22279" </w:instrText>
      </w:r>
      <w:r>
        <w:fldChar w:fldCharType="separate"/>
      </w:r>
      <w:r>
        <w:rPr>
          <w:rFonts w:hint="eastAsia" w:ascii="仿宋" w:hAnsi="仿宋" w:eastAsia="仿宋" w:cs="宋体"/>
          <w:kern w:val="2"/>
          <w:sz w:val="28"/>
          <w:szCs w:val="28"/>
        </w:rPr>
        <w:t>2.1.1 部门基本情况</w:t>
      </w:r>
      <w:r>
        <w:rPr>
          <w:rFonts w:ascii="仿宋" w:hAnsi="仿宋" w:eastAsia="仿宋" w:cs="宋体"/>
          <w:kern w:val="2"/>
          <w:sz w:val="28"/>
          <w:szCs w:val="28"/>
        </w:rPr>
        <w:tab/>
      </w:r>
      <w:r>
        <w:rPr>
          <w:rFonts w:hint="eastAsia" w:ascii="仿宋" w:hAnsi="仿宋" w:eastAsia="仿宋" w:cs="宋体"/>
          <w:kern w:val="2"/>
          <w:sz w:val="28"/>
          <w:szCs w:val="28"/>
        </w:rPr>
        <w:t>5</w:t>
      </w:r>
      <w:r>
        <w:rPr>
          <w:rFonts w:hint="eastAsia" w:ascii="仿宋" w:hAnsi="仿宋" w:eastAsia="仿宋" w:cs="宋体"/>
          <w:kern w:val="2"/>
          <w:sz w:val="28"/>
          <w:szCs w:val="28"/>
        </w:rPr>
        <w:fldChar w:fldCharType="end"/>
      </w:r>
    </w:p>
    <w:p w14:paraId="2FA00D36">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"_Toc22279" </w:instrText>
      </w:r>
      <w:r>
        <w:fldChar w:fldCharType="separate"/>
      </w:r>
      <w:r>
        <w:rPr>
          <w:rFonts w:hint="eastAsia" w:ascii="仿宋" w:hAnsi="仿宋" w:eastAsia="仿宋" w:cs="宋体"/>
          <w:kern w:val="2"/>
          <w:sz w:val="28"/>
          <w:szCs w:val="28"/>
        </w:rPr>
        <w:t>2.1.2 部门整体支出预算绩效目标</w:t>
      </w:r>
      <w:r>
        <w:rPr>
          <w:rFonts w:ascii="仿宋" w:hAnsi="仿宋" w:eastAsia="仿宋" w:cs="宋体"/>
          <w:kern w:val="2"/>
          <w:sz w:val="28"/>
          <w:szCs w:val="28"/>
        </w:rPr>
        <w:tab/>
      </w:r>
      <w:r>
        <w:rPr>
          <w:rFonts w:hint="eastAsia" w:ascii="仿宋" w:hAnsi="仿宋" w:eastAsia="仿宋" w:cs="宋体"/>
          <w:kern w:val="2"/>
          <w:sz w:val="28"/>
          <w:szCs w:val="28"/>
        </w:rPr>
        <w:t>6</w:t>
      </w:r>
      <w:r>
        <w:rPr>
          <w:rFonts w:hint="eastAsia" w:ascii="仿宋" w:hAnsi="仿宋" w:eastAsia="仿宋" w:cs="宋体"/>
          <w:kern w:val="2"/>
          <w:sz w:val="28"/>
          <w:szCs w:val="28"/>
        </w:rPr>
        <w:fldChar w:fldCharType="end"/>
      </w:r>
    </w:p>
    <w:p w14:paraId="488C84A1">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"_Toc22279" </w:instrText>
      </w:r>
      <w:r>
        <w:fldChar w:fldCharType="separate"/>
      </w:r>
      <w:r>
        <w:rPr>
          <w:rFonts w:hint="eastAsia" w:ascii="仿宋" w:hAnsi="仿宋" w:eastAsia="仿宋" w:cs="宋体"/>
          <w:kern w:val="2"/>
          <w:sz w:val="28"/>
          <w:szCs w:val="28"/>
        </w:rPr>
        <w:t>2.1.3 部门整体资金预算安排情况</w:t>
      </w:r>
      <w:r>
        <w:rPr>
          <w:rFonts w:ascii="仿宋" w:hAnsi="仿宋" w:eastAsia="仿宋" w:cs="宋体"/>
          <w:kern w:val="2"/>
          <w:sz w:val="28"/>
          <w:szCs w:val="28"/>
        </w:rPr>
        <w:tab/>
      </w:r>
      <w:r>
        <w:rPr>
          <w:rFonts w:hint="eastAsia" w:ascii="仿宋" w:hAnsi="仿宋" w:eastAsia="仿宋" w:cs="宋体"/>
          <w:kern w:val="2"/>
          <w:sz w:val="28"/>
          <w:szCs w:val="28"/>
        </w:rPr>
        <w:t>6</w:t>
      </w:r>
      <w:r>
        <w:rPr>
          <w:rFonts w:hint="eastAsia" w:ascii="仿宋" w:hAnsi="仿宋" w:eastAsia="仿宋" w:cs="宋体"/>
          <w:kern w:val="2"/>
          <w:sz w:val="28"/>
          <w:szCs w:val="28"/>
        </w:rPr>
        <w:fldChar w:fldCharType="end"/>
      </w:r>
    </w:p>
    <w:p w14:paraId="06291867">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"_Toc6884" </w:instrText>
      </w:r>
      <w:r>
        <w:fldChar w:fldCharType="separate"/>
      </w:r>
      <w:r>
        <w:rPr>
          <w:rFonts w:hint="eastAsia" w:ascii="仿宋" w:hAnsi="仿宋" w:eastAsia="仿宋" w:cs="宋体"/>
          <w:kern w:val="2"/>
          <w:sz w:val="28"/>
          <w:szCs w:val="28"/>
        </w:rPr>
        <w:t>2</w:t>
      </w:r>
      <w:r>
        <w:rPr>
          <w:rFonts w:ascii="仿宋" w:hAnsi="仿宋" w:eastAsia="仿宋" w:cs="宋体"/>
          <w:kern w:val="2"/>
          <w:sz w:val="28"/>
          <w:szCs w:val="28"/>
        </w:rPr>
        <w:t>.1.4</w:t>
      </w:r>
      <w:r>
        <w:rPr>
          <w:rFonts w:hint="eastAsia" w:ascii="仿宋" w:hAnsi="仿宋" w:eastAsia="仿宋" w:cs="宋体"/>
          <w:kern w:val="2"/>
          <w:sz w:val="28"/>
          <w:szCs w:val="28"/>
        </w:rPr>
        <w:t xml:space="preserve"> 部门整体资金使用情况</w:t>
      </w:r>
      <w:r>
        <w:rPr>
          <w:rFonts w:ascii="仿宋" w:hAnsi="仿宋" w:eastAsia="仿宋" w:cs="宋体"/>
          <w:kern w:val="2"/>
          <w:sz w:val="28"/>
          <w:szCs w:val="28"/>
        </w:rPr>
        <w:tab/>
      </w:r>
      <w:r>
        <w:rPr>
          <w:rFonts w:hint="eastAsia" w:ascii="仿宋" w:hAnsi="仿宋" w:eastAsia="仿宋" w:cs="宋体"/>
          <w:kern w:val="2"/>
          <w:sz w:val="28"/>
          <w:szCs w:val="28"/>
        </w:rPr>
        <w:t>6</w:t>
      </w:r>
      <w:r>
        <w:rPr>
          <w:rFonts w:hint="eastAsia" w:ascii="仿宋" w:hAnsi="仿宋" w:eastAsia="仿宋" w:cs="宋体"/>
          <w:kern w:val="2"/>
          <w:sz w:val="28"/>
          <w:szCs w:val="28"/>
        </w:rPr>
        <w:fldChar w:fldCharType="end"/>
      </w:r>
    </w:p>
    <w:p w14:paraId="3927081F">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"_Toc6884" </w:instrText>
      </w:r>
      <w:r>
        <w:fldChar w:fldCharType="separate"/>
      </w:r>
      <w:r>
        <w:rPr>
          <w:rFonts w:hint="eastAsia" w:ascii="仿宋" w:hAnsi="仿宋" w:eastAsia="仿宋" w:cs="宋体"/>
          <w:kern w:val="2"/>
          <w:sz w:val="28"/>
          <w:szCs w:val="28"/>
        </w:rPr>
        <w:t>2</w:t>
      </w:r>
      <w:r>
        <w:rPr>
          <w:rFonts w:ascii="仿宋" w:hAnsi="仿宋" w:eastAsia="仿宋" w:cs="宋体"/>
          <w:kern w:val="2"/>
          <w:sz w:val="28"/>
          <w:szCs w:val="28"/>
        </w:rPr>
        <w:t>.1.</w:t>
      </w:r>
      <w:r>
        <w:rPr>
          <w:rFonts w:hint="eastAsia" w:ascii="仿宋" w:hAnsi="仿宋" w:eastAsia="仿宋" w:cs="宋体"/>
          <w:kern w:val="2"/>
          <w:sz w:val="28"/>
          <w:szCs w:val="28"/>
        </w:rPr>
        <w:t>5 部门整体资金管理情况</w:t>
      </w:r>
      <w:r>
        <w:rPr>
          <w:rFonts w:ascii="仿宋" w:hAnsi="仿宋" w:eastAsia="仿宋" w:cs="宋体"/>
          <w:kern w:val="2"/>
          <w:sz w:val="28"/>
          <w:szCs w:val="28"/>
        </w:rPr>
        <w:tab/>
      </w:r>
      <w:r>
        <w:rPr>
          <w:rFonts w:hint="eastAsia" w:ascii="仿宋" w:hAnsi="仿宋" w:eastAsia="仿宋" w:cs="宋体"/>
          <w:kern w:val="2"/>
          <w:sz w:val="28"/>
          <w:szCs w:val="28"/>
        </w:rPr>
        <w:t>7</w:t>
      </w:r>
      <w:r>
        <w:rPr>
          <w:rFonts w:hint="eastAsia" w:ascii="仿宋" w:hAnsi="仿宋" w:eastAsia="仿宋" w:cs="宋体"/>
          <w:kern w:val="2"/>
          <w:sz w:val="28"/>
          <w:szCs w:val="28"/>
        </w:rPr>
        <w:fldChar w:fldCharType="end"/>
      </w:r>
    </w:p>
    <w:p w14:paraId="3A37DE41">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"_Toc13325" </w:instrText>
      </w:r>
      <w:r>
        <w:fldChar w:fldCharType="separate"/>
      </w:r>
      <w:r>
        <w:rPr>
          <w:rFonts w:ascii="仿宋" w:hAnsi="仿宋" w:eastAsia="仿宋" w:cs="宋体"/>
          <w:b/>
          <w:bCs/>
          <w:kern w:val="2"/>
          <w:sz w:val="28"/>
          <w:szCs w:val="28"/>
        </w:rPr>
        <w:t xml:space="preserve">2.2  </w:t>
      </w:r>
      <w:r>
        <w:rPr>
          <w:rFonts w:hint="eastAsia" w:ascii="仿宋" w:hAnsi="仿宋" w:eastAsia="仿宋" w:cs="宋体"/>
          <w:b/>
          <w:bCs/>
          <w:kern w:val="2"/>
          <w:sz w:val="28"/>
          <w:szCs w:val="28"/>
        </w:rPr>
        <w:t>绩效评价工作开展情况</w:t>
      </w:r>
      <w:r>
        <w:rPr>
          <w:rFonts w:ascii="仿宋" w:hAnsi="仿宋" w:eastAsia="仿宋" w:cs="宋体"/>
          <w:b/>
          <w:bCs/>
          <w:kern w:val="2"/>
          <w:sz w:val="28"/>
          <w:szCs w:val="28"/>
        </w:rPr>
        <w:tab/>
      </w:r>
      <w:r>
        <w:rPr>
          <w:rFonts w:hint="eastAsia" w:ascii="仿宋" w:hAnsi="仿宋" w:eastAsia="仿宋" w:cs="宋体"/>
          <w:b/>
          <w:bCs/>
          <w:kern w:val="2"/>
          <w:sz w:val="28"/>
          <w:szCs w:val="28"/>
        </w:rPr>
        <w:t>7</w:t>
      </w:r>
      <w:r>
        <w:rPr>
          <w:rFonts w:hint="eastAsia" w:ascii="仿宋" w:hAnsi="仿宋" w:eastAsia="仿宋" w:cs="宋体"/>
          <w:b/>
          <w:bCs/>
          <w:kern w:val="2"/>
          <w:sz w:val="28"/>
          <w:szCs w:val="28"/>
        </w:rPr>
        <w:fldChar w:fldCharType="end"/>
      </w:r>
    </w:p>
    <w:p w14:paraId="31667BF2">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"_Toc6329" </w:instrText>
      </w:r>
      <w:r>
        <w:fldChar w:fldCharType="separate"/>
      </w:r>
      <w:r>
        <w:rPr>
          <w:rFonts w:hint="eastAsia" w:ascii="仿宋" w:hAnsi="仿宋" w:eastAsia="仿宋" w:cs="宋体"/>
          <w:kern w:val="2"/>
          <w:sz w:val="28"/>
          <w:szCs w:val="28"/>
        </w:rPr>
        <w:t>2.2.1  评价目的</w:t>
      </w:r>
      <w:r>
        <w:rPr>
          <w:rFonts w:ascii="仿宋" w:hAnsi="仿宋" w:eastAsia="仿宋" w:cs="宋体"/>
          <w:kern w:val="2"/>
          <w:sz w:val="28"/>
          <w:szCs w:val="28"/>
        </w:rPr>
        <w:tab/>
      </w:r>
      <w:r>
        <w:rPr>
          <w:rFonts w:hint="eastAsia" w:ascii="仿宋" w:hAnsi="仿宋" w:eastAsia="仿宋" w:cs="宋体"/>
          <w:kern w:val="2"/>
          <w:sz w:val="28"/>
          <w:szCs w:val="28"/>
        </w:rPr>
        <w:t>7</w:t>
      </w:r>
      <w:r>
        <w:rPr>
          <w:rFonts w:hint="eastAsia" w:ascii="仿宋" w:hAnsi="仿宋" w:eastAsia="仿宋" w:cs="宋体"/>
          <w:kern w:val="2"/>
          <w:sz w:val="28"/>
          <w:szCs w:val="28"/>
        </w:rPr>
        <w:fldChar w:fldCharType="end"/>
      </w:r>
    </w:p>
    <w:p w14:paraId="45A98B94">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"_Toc21896" </w:instrText>
      </w:r>
      <w:r>
        <w:fldChar w:fldCharType="separate"/>
      </w:r>
      <w:r>
        <w:rPr>
          <w:rFonts w:hint="eastAsia" w:ascii="仿宋" w:hAnsi="仿宋" w:eastAsia="仿宋" w:cs="宋体"/>
          <w:kern w:val="2"/>
          <w:sz w:val="28"/>
          <w:szCs w:val="28"/>
        </w:rPr>
        <w:t>2.2.2  评价工作过程</w:t>
      </w:r>
      <w:r>
        <w:rPr>
          <w:rFonts w:ascii="仿宋" w:hAnsi="仿宋" w:eastAsia="仿宋" w:cs="宋体"/>
          <w:kern w:val="2"/>
          <w:sz w:val="28"/>
          <w:szCs w:val="28"/>
        </w:rPr>
        <w:tab/>
      </w:r>
      <w:r>
        <w:rPr>
          <w:rFonts w:hint="eastAsia" w:ascii="仿宋" w:hAnsi="仿宋" w:eastAsia="仿宋" w:cs="宋体"/>
          <w:kern w:val="2"/>
          <w:sz w:val="28"/>
          <w:szCs w:val="28"/>
        </w:rPr>
        <w:t>7</w:t>
      </w:r>
      <w:r>
        <w:rPr>
          <w:rFonts w:hint="eastAsia" w:ascii="仿宋" w:hAnsi="仿宋" w:eastAsia="仿宋" w:cs="宋体"/>
          <w:kern w:val="2"/>
          <w:sz w:val="28"/>
          <w:szCs w:val="28"/>
        </w:rPr>
        <w:fldChar w:fldCharType="end"/>
      </w:r>
    </w:p>
    <w:p w14:paraId="173FDEDB">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"_Toc802" </w:instrText>
      </w:r>
      <w:r>
        <w:fldChar w:fldCharType="separate"/>
      </w:r>
      <w:r>
        <w:rPr>
          <w:rFonts w:hint="eastAsia" w:ascii="仿宋" w:hAnsi="仿宋" w:eastAsia="仿宋" w:cs="宋体"/>
          <w:kern w:val="2"/>
          <w:sz w:val="28"/>
          <w:szCs w:val="28"/>
        </w:rPr>
        <w:t>2.2.3  绩效评价框架</w:t>
      </w:r>
      <w:r>
        <w:rPr>
          <w:rFonts w:ascii="仿宋" w:hAnsi="仿宋" w:eastAsia="仿宋" w:cs="宋体"/>
          <w:kern w:val="2"/>
          <w:sz w:val="28"/>
          <w:szCs w:val="28"/>
        </w:rPr>
        <w:tab/>
      </w:r>
      <w:r>
        <w:rPr>
          <w:rFonts w:hint="eastAsia" w:ascii="仿宋" w:hAnsi="仿宋" w:eastAsia="仿宋" w:cs="宋体"/>
          <w:kern w:val="2"/>
          <w:sz w:val="28"/>
          <w:szCs w:val="28"/>
        </w:rPr>
        <w:t>9</w:t>
      </w:r>
      <w:r>
        <w:rPr>
          <w:rFonts w:hint="eastAsia" w:ascii="仿宋" w:hAnsi="仿宋" w:eastAsia="仿宋" w:cs="宋体"/>
          <w:kern w:val="2"/>
          <w:sz w:val="28"/>
          <w:szCs w:val="28"/>
        </w:rPr>
        <w:fldChar w:fldCharType="end"/>
      </w:r>
    </w:p>
    <w:p w14:paraId="5E47B312">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"_Toc30630" </w:instrText>
      </w:r>
      <w:r>
        <w:fldChar w:fldCharType="separate"/>
      </w:r>
      <w:r>
        <w:rPr>
          <w:rFonts w:hint="eastAsia" w:ascii="仿宋" w:hAnsi="仿宋" w:eastAsia="仿宋" w:cs="宋体"/>
          <w:kern w:val="2"/>
          <w:sz w:val="28"/>
          <w:szCs w:val="28"/>
        </w:rPr>
        <w:t>2.2.4  证据收集方法</w:t>
      </w:r>
      <w:r>
        <w:rPr>
          <w:rFonts w:ascii="仿宋" w:hAnsi="仿宋" w:eastAsia="仿宋" w:cs="宋体"/>
          <w:kern w:val="2"/>
          <w:sz w:val="28"/>
          <w:szCs w:val="28"/>
        </w:rPr>
        <w:tab/>
      </w:r>
      <w:r>
        <w:rPr>
          <w:rFonts w:ascii="仿宋" w:hAnsi="仿宋" w:eastAsia="仿宋" w:cs="宋体"/>
          <w:kern w:val="2"/>
          <w:sz w:val="28"/>
          <w:szCs w:val="28"/>
        </w:rPr>
        <w:fldChar w:fldCharType="begin"/>
      </w:r>
      <w:r>
        <w:rPr>
          <w:rFonts w:ascii="仿宋" w:hAnsi="仿宋" w:eastAsia="仿宋" w:cs="宋体"/>
          <w:kern w:val="2"/>
          <w:sz w:val="28"/>
          <w:szCs w:val="28"/>
        </w:rPr>
        <w:instrText xml:space="preserve"> PAGEREF _Toc30630 \h </w:instrText>
      </w:r>
      <w:r>
        <w:rPr>
          <w:rFonts w:ascii="仿宋" w:hAnsi="仿宋" w:eastAsia="仿宋" w:cs="宋体"/>
          <w:kern w:val="2"/>
          <w:sz w:val="28"/>
          <w:szCs w:val="28"/>
        </w:rPr>
        <w:fldChar w:fldCharType="separate"/>
      </w:r>
      <w:r>
        <w:rPr>
          <w:rFonts w:ascii="仿宋" w:hAnsi="仿宋" w:eastAsia="仿宋" w:cs="宋体"/>
          <w:kern w:val="2"/>
          <w:sz w:val="28"/>
          <w:szCs w:val="28"/>
        </w:rPr>
        <w:t>1</w:t>
      </w:r>
      <w:r>
        <w:rPr>
          <w:rFonts w:ascii="仿宋" w:hAnsi="仿宋" w:eastAsia="仿宋" w:cs="宋体"/>
          <w:kern w:val="2"/>
          <w:sz w:val="28"/>
          <w:szCs w:val="28"/>
        </w:rPr>
        <w:fldChar w:fldCharType="end"/>
      </w:r>
      <w:r>
        <w:rPr>
          <w:rFonts w:ascii="仿宋" w:hAnsi="仿宋" w:eastAsia="仿宋" w:cs="宋体"/>
          <w:kern w:val="2"/>
          <w:sz w:val="28"/>
          <w:szCs w:val="28"/>
        </w:rPr>
        <w:fldChar w:fldCharType="end"/>
      </w:r>
      <w:r>
        <w:rPr>
          <w:rFonts w:hint="eastAsia" w:ascii="仿宋" w:hAnsi="仿宋" w:eastAsia="仿宋" w:cs="宋体"/>
          <w:kern w:val="2"/>
          <w:sz w:val="28"/>
          <w:szCs w:val="28"/>
        </w:rPr>
        <w:t>1</w:t>
      </w:r>
    </w:p>
    <w:p w14:paraId="6FDB6EB6">
      <w:pPr>
        <w:pStyle w:val="16"/>
        <w:tabs>
          <w:tab w:val="right" w:leader="dot" w:pos="8306"/>
        </w:tabs>
        <w:ind w:left="0" w:leftChars="0"/>
        <w:rPr>
          <w:rFonts w:ascii="仿宋" w:hAnsi="仿宋" w:eastAsia="仿宋" w:cs="宋体"/>
          <w:kern w:val="2"/>
          <w:sz w:val="28"/>
          <w:szCs w:val="28"/>
        </w:rPr>
      </w:pPr>
      <w:r>
        <w:fldChar w:fldCharType="begin"/>
      </w:r>
      <w:r>
        <w:instrText xml:space="preserve"> HYPERLINK \l "_Toc18400" </w:instrText>
      </w:r>
      <w:r>
        <w:fldChar w:fldCharType="separate"/>
      </w:r>
      <w:r>
        <w:rPr>
          <w:rFonts w:hint="eastAsia" w:ascii="仿宋" w:hAnsi="仿宋" w:eastAsia="仿宋" w:cs="宋体"/>
          <w:b/>
          <w:bCs/>
          <w:kern w:val="2"/>
          <w:sz w:val="28"/>
          <w:szCs w:val="28"/>
        </w:rPr>
        <w:t>2.3  绩效指标完成情况分析</w:t>
      </w:r>
      <w:r>
        <w:rPr>
          <w:rFonts w:ascii="仿宋" w:hAnsi="仿宋" w:eastAsia="仿宋" w:cs="宋体"/>
          <w:b/>
          <w:bCs/>
          <w:kern w:val="2"/>
          <w:sz w:val="28"/>
          <w:szCs w:val="28"/>
        </w:rPr>
        <w:tab/>
      </w:r>
      <w:r>
        <w:rPr>
          <w:rFonts w:ascii="仿宋" w:hAnsi="仿宋" w:eastAsia="仿宋" w:cs="宋体"/>
          <w:b/>
          <w:bCs/>
          <w:kern w:val="2"/>
          <w:sz w:val="28"/>
          <w:szCs w:val="28"/>
        </w:rPr>
        <w:fldChar w:fldCharType="begin"/>
      </w:r>
      <w:r>
        <w:rPr>
          <w:rFonts w:ascii="仿宋" w:hAnsi="仿宋" w:eastAsia="仿宋" w:cs="宋体"/>
          <w:b/>
          <w:bCs/>
          <w:kern w:val="2"/>
          <w:sz w:val="28"/>
          <w:szCs w:val="28"/>
        </w:rPr>
        <w:instrText xml:space="preserve"> PAGEREF _Toc18400 \h </w:instrText>
      </w:r>
      <w:r>
        <w:rPr>
          <w:rFonts w:ascii="仿宋" w:hAnsi="仿宋" w:eastAsia="仿宋" w:cs="宋体"/>
          <w:b/>
          <w:bCs/>
          <w:kern w:val="2"/>
          <w:sz w:val="28"/>
          <w:szCs w:val="28"/>
        </w:rPr>
        <w:fldChar w:fldCharType="separate"/>
      </w:r>
      <w:r>
        <w:rPr>
          <w:rFonts w:ascii="仿宋" w:hAnsi="仿宋" w:eastAsia="仿宋" w:cs="宋体"/>
          <w:b/>
          <w:bCs/>
          <w:kern w:val="2"/>
          <w:sz w:val="28"/>
          <w:szCs w:val="28"/>
        </w:rPr>
        <w:t>1</w:t>
      </w:r>
      <w:r>
        <w:rPr>
          <w:rFonts w:ascii="仿宋" w:hAnsi="仿宋" w:eastAsia="仿宋" w:cs="宋体"/>
          <w:b/>
          <w:bCs/>
          <w:kern w:val="2"/>
          <w:sz w:val="28"/>
          <w:szCs w:val="28"/>
        </w:rPr>
        <w:fldChar w:fldCharType="end"/>
      </w:r>
      <w:r>
        <w:rPr>
          <w:rFonts w:ascii="仿宋" w:hAnsi="仿宋" w:eastAsia="仿宋" w:cs="宋体"/>
          <w:b/>
          <w:bCs/>
          <w:kern w:val="2"/>
          <w:sz w:val="28"/>
          <w:szCs w:val="28"/>
        </w:rPr>
        <w:fldChar w:fldCharType="end"/>
      </w:r>
      <w:r>
        <w:rPr>
          <w:rFonts w:hint="eastAsia" w:ascii="仿宋" w:hAnsi="仿宋" w:eastAsia="仿宋" w:cs="宋体"/>
          <w:b/>
          <w:bCs/>
          <w:kern w:val="2"/>
          <w:sz w:val="28"/>
          <w:szCs w:val="28"/>
        </w:rPr>
        <w:t>2</w:t>
      </w:r>
    </w:p>
    <w:p w14:paraId="5D133EC8">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"_Toc11347" </w:instrText>
      </w:r>
      <w:r>
        <w:fldChar w:fldCharType="separate"/>
      </w:r>
      <w:r>
        <w:rPr>
          <w:rFonts w:hint="eastAsia" w:ascii="仿宋" w:hAnsi="仿宋" w:eastAsia="仿宋" w:cs="宋体"/>
          <w:kern w:val="2"/>
          <w:sz w:val="28"/>
          <w:szCs w:val="28"/>
        </w:rPr>
        <w:t>2.3.1  运行成本分析</w:t>
      </w:r>
      <w:r>
        <w:rPr>
          <w:rFonts w:ascii="仿宋" w:hAnsi="仿宋" w:eastAsia="仿宋" w:cs="宋体"/>
          <w:kern w:val="2"/>
          <w:sz w:val="28"/>
          <w:szCs w:val="28"/>
        </w:rPr>
        <w:tab/>
      </w:r>
      <w:r>
        <w:rPr>
          <w:rFonts w:ascii="仿宋" w:hAnsi="仿宋" w:eastAsia="仿宋" w:cs="宋体"/>
          <w:kern w:val="2"/>
          <w:sz w:val="28"/>
          <w:szCs w:val="28"/>
        </w:rPr>
        <w:fldChar w:fldCharType="begin"/>
      </w:r>
      <w:r>
        <w:rPr>
          <w:rFonts w:ascii="仿宋" w:hAnsi="仿宋" w:eastAsia="仿宋" w:cs="宋体"/>
          <w:kern w:val="2"/>
          <w:sz w:val="28"/>
          <w:szCs w:val="28"/>
        </w:rPr>
        <w:instrText xml:space="preserve"> PAGEREF _Toc11347 \h </w:instrText>
      </w:r>
      <w:r>
        <w:rPr>
          <w:rFonts w:ascii="仿宋" w:hAnsi="仿宋" w:eastAsia="仿宋" w:cs="宋体"/>
          <w:kern w:val="2"/>
          <w:sz w:val="28"/>
          <w:szCs w:val="28"/>
        </w:rPr>
        <w:fldChar w:fldCharType="separate"/>
      </w:r>
      <w:r>
        <w:rPr>
          <w:rFonts w:ascii="仿宋" w:hAnsi="仿宋" w:eastAsia="仿宋" w:cs="宋体"/>
          <w:kern w:val="2"/>
          <w:sz w:val="28"/>
          <w:szCs w:val="28"/>
        </w:rPr>
        <w:t>1</w:t>
      </w:r>
      <w:r>
        <w:rPr>
          <w:rFonts w:ascii="仿宋" w:hAnsi="仿宋" w:eastAsia="仿宋" w:cs="宋体"/>
          <w:kern w:val="2"/>
          <w:sz w:val="28"/>
          <w:szCs w:val="28"/>
        </w:rPr>
        <w:fldChar w:fldCharType="end"/>
      </w:r>
      <w:r>
        <w:rPr>
          <w:rFonts w:ascii="仿宋" w:hAnsi="仿宋" w:eastAsia="仿宋" w:cs="宋体"/>
          <w:kern w:val="2"/>
          <w:sz w:val="28"/>
          <w:szCs w:val="28"/>
        </w:rPr>
        <w:fldChar w:fldCharType="end"/>
      </w:r>
      <w:r>
        <w:rPr>
          <w:rFonts w:hint="eastAsia" w:ascii="仿宋" w:hAnsi="仿宋" w:eastAsia="仿宋" w:cs="宋体"/>
          <w:kern w:val="2"/>
          <w:sz w:val="28"/>
          <w:szCs w:val="28"/>
        </w:rPr>
        <w:t>2</w:t>
      </w:r>
    </w:p>
    <w:p w14:paraId="309C5427">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2.3.2  管理效率分析</w:t>
      </w:r>
      <w:r>
        <w:rPr>
          <w:rFonts w:ascii="仿宋" w:hAnsi="仿宋" w:eastAsia="仿宋" w:cs="宋体"/>
          <w:kern w:val="2"/>
          <w:sz w:val="28"/>
          <w:szCs w:val="28"/>
        </w:rPr>
        <w:tab/>
      </w:r>
      <w:r>
        <w:rPr>
          <w:rFonts w:hint="eastAsia" w:ascii="仿宋" w:hAnsi="仿宋" w:eastAsia="仿宋" w:cs="宋体"/>
          <w:kern w:val="2"/>
          <w:sz w:val="28"/>
          <w:szCs w:val="28"/>
        </w:rPr>
        <w:t>1</w:t>
      </w:r>
      <w:r>
        <w:rPr>
          <w:rFonts w:hint="eastAsia" w:ascii="仿宋" w:hAnsi="仿宋" w:eastAsia="仿宋" w:cs="宋体"/>
          <w:kern w:val="2"/>
          <w:sz w:val="28"/>
          <w:szCs w:val="28"/>
        </w:rPr>
        <w:fldChar w:fldCharType="end"/>
      </w:r>
      <w:r>
        <w:rPr>
          <w:rFonts w:hint="eastAsia" w:ascii="仿宋" w:hAnsi="仿宋" w:eastAsia="仿宋" w:cs="宋体"/>
          <w:kern w:val="2"/>
          <w:sz w:val="28"/>
          <w:szCs w:val="28"/>
        </w:rPr>
        <w:t>4</w:t>
      </w:r>
    </w:p>
    <w:p w14:paraId="11372B39">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2.3.3  履职效能分析</w:t>
      </w:r>
      <w:r>
        <w:rPr>
          <w:rFonts w:ascii="仿宋" w:hAnsi="仿宋" w:eastAsia="仿宋" w:cs="宋体"/>
          <w:kern w:val="2"/>
          <w:sz w:val="28"/>
          <w:szCs w:val="28"/>
        </w:rPr>
        <w:tab/>
      </w:r>
      <w:r>
        <w:rPr>
          <w:rFonts w:hint="eastAsia" w:ascii="仿宋" w:hAnsi="仿宋" w:eastAsia="仿宋" w:cs="宋体"/>
          <w:kern w:val="2"/>
          <w:sz w:val="28"/>
          <w:szCs w:val="28"/>
        </w:rPr>
        <w:t>1</w:t>
      </w:r>
      <w:r>
        <w:rPr>
          <w:rFonts w:hint="eastAsia" w:ascii="仿宋" w:hAnsi="仿宋" w:eastAsia="仿宋" w:cs="宋体"/>
          <w:kern w:val="2"/>
          <w:sz w:val="28"/>
          <w:szCs w:val="28"/>
        </w:rPr>
        <w:fldChar w:fldCharType="end"/>
      </w:r>
      <w:r>
        <w:rPr>
          <w:rFonts w:hint="eastAsia" w:ascii="仿宋" w:hAnsi="仿宋" w:eastAsia="仿宋" w:cs="宋体"/>
          <w:kern w:val="2"/>
          <w:sz w:val="28"/>
          <w:szCs w:val="28"/>
        </w:rPr>
        <w:t>6</w:t>
      </w:r>
    </w:p>
    <w:p w14:paraId="4E368DE6">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2.3.4  履职效益分析</w:t>
      </w:r>
      <w:r>
        <w:rPr>
          <w:rFonts w:ascii="仿宋" w:hAnsi="仿宋" w:eastAsia="仿宋" w:cs="宋体"/>
          <w:kern w:val="2"/>
          <w:sz w:val="28"/>
          <w:szCs w:val="28"/>
        </w:rPr>
        <w:tab/>
      </w:r>
      <w:r>
        <w:rPr>
          <w:rFonts w:hint="eastAsia" w:ascii="仿宋" w:hAnsi="仿宋" w:eastAsia="仿宋" w:cs="宋体"/>
          <w:kern w:val="2"/>
          <w:sz w:val="28"/>
          <w:szCs w:val="28"/>
        </w:rPr>
        <w:t>17</w:t>
      </w:r>
      <w:r>
        <w:rPr>
          <w:rFonts w:hint="eastAsia" w:ascii="仿宋" w:hAnsi="仿宋" w:eastAsia="仿宋" w:cs="宋体"/>
          <w:kern w:val="2"/>
          <w:sz w:val="28"/>
          <w:szCs w:val="28"/>
        </w:rPr>
        <w:fldChar w:fldCharType="end"/>
      </w:r>
    </w:p>
    <w:p w14:paraId="256D6780">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2.3.5  评价得分与等级</w:t>
      </w:r>
      <w:r>
        <w:rPr>
          <w:rFonts w:ascii="仿宋" w:hAnsi="仿宋" w:eastAsia="仿宋" w:cs="宋体"/>
          <w:kern w:val="2"/>
          <w:sz w:val="28"/>
          <w:szCs w:val="28"/>
        </w:rPr>
        <w:tab/>
      </w:r>
      <w:r>
        <w:rPr>
          <w:rFonts w:hint="eastAsia" w:ascii="仿宋" w:hAnsi="仿宋" w:eastAsia="仿宋" w:cs="宋体"/>
          <w:kern w:val="2"/>
          <w:sz w:val="28"/>
          <w:szCs w:val="28"/>
        </w:rPr>
        <w:t>18</w:t>
      </w:r>
      <w:r>
        <w:rPr>
          <w:rFonts w:hint="eastAsia" w:ascii="仿宋" w:hAnsi="仿宋" w:eastAsia="仿宋" w:cs="宋体"/>
          <w:kern w:val="2"/>
          <w:sz w:val="28"/>
          <w:szCs w:val="28"/>
        </w:rPr>
        <w:fldChar w:fldCharType="end"/>
      </w:r>
    </w:p>
    <w:p w14:paraId="2D51F05D">
      <w:pPr>
        <w:pStyle w:val="15"/>
        <w:tabs>
          <w:tab w:val="right" w:leader="dot" w:pos="8306"/>
        </w:tabs>
        <w:ind w:left="0" w:leftChars="0"/>
        <w:rPr>
          <w:rFonts w:ascii="仿宋" w:hAnsi="仿宋" w:eastAsia="仿宋" w:cs="宋体"/>
          <w:b/>
          <w:bCs/>
          <w:kern w:val="2"/>
          <w:sz w:val="28"/>
          <w:szCs w:val="28"/>
        </w:rPr>
      </w:pPr>
      <w:r>
        <w:fldChar w:fldCharType="begin"/>
      </w:r>
      <w:r>
        <w:instrText xml:space="preserve"> HYPERLINK \l "_Toc18400" </w:instrText>
      </w:r>
      <w:r>
        <w:fldChar w:fldCharType="separate"/>
      </w:r>
      <w:r>
        <w:rPr>
          <w:rFonts w:hint="eastAsia" w:ascii="仿宋" w:hAnsi="仿宋" w:eastAsia="仿宋" w:cs="宋体"/>
          <w:b/>
          <w:bCs/>
          <w:kern w:val="2"/>
          <w:sz w:val="28"/>
          <w:szCs w:val="28"/>
        </w:rPr>
        <w:t>2.4  上年度评价结果应用情况</w:t>
      </w:r>
      <w:r>
        <w:rPr>
          <w:rFonts w:ascii="仿宋" w:hAnsi="仿宋" w:eastAsia="仿宋" w:cs="宋体"/>
          <w:b/>
          <w:bCs/>
          <w:kern w:val="2"/>
          <w:sz w:val="28"/>
          <w:szCs w:val="28"/>
        </w:rPr>
        <w:tab/>
      </w:r>
      <w:r>
        <w:rPr>
          <w:rFonts w:hint="eastAsia" w:ascii="仿宋" w:hAnsi="仿宋" w:eastAsia="仿宋" w:cs="宋体"/>
          <w:b/>
          <w:bCs/>
          <w:kern w:val="2"/>
          <w:sz w:val="28"/>
          <w:szCs w:val="28"/>
        </w:rPr>
        <w:t>18</w:t>
      </w:r>
      <w:r>
        <w:rPr>
          <w:rFonts w:hint="eastAsia" w:ascii="仿宋" w:hAnsi="仿宋" w:eastAsia="仿宋" w:cs="宋体"/>
          <w:b/>
          <w:bCs/>
          <w:kern w:val="2"/>
          <w:sz w:val="28"/>
          <w:szCs w:val="28"/>
        </w:rPr>
        <w:fldChar w:fldCharType="end"/>
      </w:r>
    </w:p>
    <w:p w14:paraId="2C76977C">
      <w:pPr>
        <w:pStyle w:val="15"/>
        <w:tabs>
          <w:tab w:val="right" w:leader="dot" w:pos="8306"/>
        </w:tabs>
        <w:ind w:left="0" w:leftChars="0"/>
        <w:rPr>
          <w:rFonts w:ascii="仿宋" w:hAnsi="仿宋" w:eastAsia="仿宋" w:cs="宋体"/>
          <w:b/>
          <w:bCs/>
          <w:kern w:val="2"/>
          <w:sz w:val="28"/>
          <w:szCs w:val="28"/>
        </w:rPr>
      </w:pPr>
      <w:r>
        <w:fldChar w:fldCharType="begin"/>
      </w:r>
      <w:r>
        <w:instrText xml:space="preserve"> HYPERLINK \l "_Toc18400" </w:instrText>
      </w:r>
      <w:r>
        <w:fldChar w:fldCharType="separate"/>
      </w:r>
      <w:r>
        <w:rPr>
          <w:rFonts w:hint="eastAsia" w:ascii="仿宋" w:hAnsi="仿宋" w:eastAsia="仿宋" w:cs="宋体"/>
          <w:b/>
          <w:bCs/>
          <w:kern w:val="2"/>
          <w:sz w:val="28"/>
          <w:szCs w:val="28"/>
        </w:rPr>
        <w:t>2.5  其他需要说明的问题</w:t>
      </w:r>
      <w:r>
        <w:rPr>
          <w:rFonts w:ascii="仿宋" w:hAnsi="仿宋" w:eastAsia="仿宋" w:cs="宋体"/>
          <w:b/>
          <w:bCs/>
          <w:kern w:val="2"/>
          <w:sz w:val="28"/>
          <w:szCs w:val="28"/>
        </w:rPr>
        <w:tab/>
      </w:r>
      <w:r>
        <w:rPr>
          <w:rFonts w:hint="eastAsia" w:ascii="仿宋" w:hAnsi="仿宋" w:eastAsia="仿宋" w:cs="宋体"/>
          <w:b/>
          <w:bCs/>
          <w:kern w:val="2"/>
          <w:sz w:val="28"/>
          <w:szCs w:val="28"/>
        </w:rPr>
        <w:t>19</w:t>
      </w:r>
      <w:r>
        <w:rPr>
          <w:rFonts w:hint="eastAsia" w:ascii="仿宋" w:hAnsi="仿宋" w:eastAsia="仿宋" w:cs="宋体"/>
          <w:b/>
          <w:bCs/>
          <w:kern w:val="2"/>
          <w:sz w:val="28"/>
          <w:szCs w:val="28"/>
        </w:rPr>
        <w:fldChar w:fldCharType="end"/>
      </w:r>
    </w:p>
    <w:p w14:paraId="48AD480F">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2.5.1  本次项目评价中存在局限性的说明</w:t>
      </w:r>
      <w:r>
        <w:rPr>
          <w:rFonts w:ascii="仿宋" w:hAnsi="仿宋" w:eastAsia="仿宋" w:cs="宋体"/>
          <w:kern w:val="2"/>
          <w:sz w:val="28"/>
          <w:szCs w:val="28"/>
        </w:rPr>
        <w:tab/>
      </w:r>
      <w:r>
        <w:rPr>
          <w:rFonts w:hint="eastAsia" w:ascii="仿宋" w:hAnsi="仿宋" w:eastAsia="仿宋" w:cs="宋体"/>
          <w:kern w:val="2"/>
          <w:sz w:val="28"/>
          <w:szCs w:val="28"/>
        </w:rPr>
        <w:t>19</w:t>
      </w:r>
      <w:r>
        <w:rPr>
          <w:rFonts w:hint="eastAsia" w:ascii="仿宋" w:hAnsi="仿宋" w:eastAsia="仿宋" w:cs="宋体"/>
          <w:kern w:val="2"/>
          <w:sz w:val="28"/>
          <w:szCs w:val="28"/>
        </w:rPr>
        <w:fldChar w:fldCharType="end"/>
      </w:r>
    </w:p>
    <w:p w14:paraId="3F5F33E9">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2.5.2  提示报告使用者注意事项的说明</w:t>
      </w:r>
      <w:r>
        <w:rPr>
          <w:rFonts w:ascii="仿宋" w:hAnsi="仿宋" w:eastAsia="仿宋" w:cs="宋体"/>
          <w:kern w:val="2"/>
          <w:sz w:val="28"/>
          <w:szCs w:val="28"/>
        </w:rPr>
        <w:tab/>
      </w:r>
      <w:r>
        <w:rPr>
          <w:rFonts w:hint="eastAsia" w:ascii="仿宋" w:hAnsi="仿宋" w:eastAsia="仿宋" w:cs="宋体"/>
          <w:kern w:val="2"/>
          <w:sz w:val="28"/>
          <w:szCs w:val="28"/>
        </w:rPr>
        <w:t>19</w:t>
      </w:r>
      <w:r>
        <w:rPr>
          <w:rFonts w:hint="eastAsia" w:ascii="仿宋" w:hAnsi="仿宋" w:eastAsia="仿宋" w:cs="宋体"/>
          <w:kern w:val="2"/>
          <w:sz w:val="28"/>
          <w:szCs w:val="28"/>
        </w:rPr>
        <w:fldChar w:fldCharType="end"/>
      </w:r>
    </w:p>
    <w:p w14:paraId="42ADEDCE">
      <w:pPr>
        <w:pStyle w:val="14"/>
        <w:tabs>
          <w:tab w:val="right" w:leader="dot" w:pos="8306"/>
        </w:tabs>
        <w:rPr>
          <w:rFonts w:ascii="仿宋" w:hAnsi="仿宋" w:eastAsia="仿宋" w:cs="宋体"/>
          <w:bCs/>
          <w:kern w:val="2"/>
          <w:sz w:val="28"/>
          <w:szCs w:val="28"/>
        </w:rPr>
      </w:pPr>
      <w:r>
        <w:fldChar w:fldCharType="begin"/>
      </w:r>
      <w:r>
        <w:instrText xml:space="preserve"> HYPERLINK \l "_Toc18400" </w:instrText>
      </w:r>
      <w:r>
        <w:fldChar w:fldCharType="separate"/>
      </w:r>
      <w:r>
        <w:rPr>
          <w:rFonts w:hint="eastAsia" w:ascii="仿宋" w:hAnsi="仿宋" w:eastAsia="仿宋" w:cs="宋体"/>
          <w:b/>
          <w:bCs/>
          <w:kern w:val="2"/>
          <w:sz w:val="28"/>
          <w:szCs w:val="28"/>
        </w:rPr>
        <w:t>2.6  其他佐证材料</w:t>
      </w:r>
      <w:r>
        <w:rPr>
          <w:rFonts w:ascii="仿宋" w:hAnsi="仿宋" w:eastAsia="仿宋" w:cs="宋体"/>
          <w:b/>
          <w:bCs/>
          <w:kern w:val="2"/>
          <w:sz w:val="28"/>
          <w:szCs w:val="28"/>
        </w:rPr>
        <w:tab/>
      </w:r>
      <w:r>
        <w:rPr>
          <w:rFonts w:hint="eastAsia" w:ascii="仿宋" w:hAnsi="仿宋" w:eastAsia="仿宋" w:cs="宋体"/>
          <w:b/>
          <w:bCs/>
          <w:kern w:val="2"/>
          <w:sz w:val="28"/>
          <w:szCs w:val="28"/>
        </w:rPr>
        <w:t>19</w:t>
      </w:r>
      <w:r>
        <w:rPr>
          <w:rFonts w:hint="eastAsia" w:ascii="仿宋" w:hAnsi="仿宋" w:eastAsia="仿宋" w:cs="宋体"/>
          <w:b/>
          <w:bCs/>
          <w:kern w:val="2"/>
          <w:sz w:val="28"/>
          <w:szCs w:val="28"/>
        </w:rPr>
        <w:fldChar w:fldCharType="end"/>
      </w:r>
    </w:p>
    <w:p w14:paraId="7E58445A">
      <w:pPr>
        <w:rPr>
          <w:rFonts w:ascii="仿宋" w:hAnsi="仿宋" w:eastAsia="仿宋"/>
          <w:sz w:val="32"/>
          <w:szCs w:val="32"/>
        </w:rPr>
      </w:pPr>
      <w:r>
        <w:rPr>
          <w:rFonts w:ascii="仿宋" w:hAnsi="仿宋" w:eastAsia="仿宋"/>
          <w:sz w:val="32"/>
          <w:szCs w:val="32"/>
        </w:rPr>
        <w:fldChar w:fldCharType="end"/>
      </w:r>
    </w:p>
    <w:p w14:paraId="2A646A67">
      <w:pPr>
        <w:rPr>
          <w:sz w:val="36"/>
          <w:szCs w:val="36"/>
        </w:rPr>
      </w:pPr>
    </w:p>
    <w:p w14:paraId="1FCD4015">
      <w:pPr>
        <w:rPr>
          <w:sz w:val="36"/>
          <w:szCs w:val="36"/>
        </w:rPr>
        <w:sectPr>
          <w:footerReference r:id="rId9" w:type="first"/>
          <w:footerReference r:id="rId8" w:type="default"/>
          <w:pgSz w:w="11906" w:h="16838"/>
          <w:pgMar w:top="1440" w:right="1800" w:bottom="1440" w:left="1800" w:header="851" w:footer="992" w:gutter="0"/>
          <w:cols w:space="720" w:num="1"/>
          <w:titlePg/>
          <w:docGrid w:type="lines" w:linePitch="312" w:charSpace="0"/>
        </w:sectPr>
      </w:pPr>
    </w:p>
    <w:p w14:paraId="06653A89">
      <w:pPr>
        <w:rPr>
          <w:sz w:val="36"/>
          <w:szCs w:val="36"/>
        </w:rPr>
      </w:pPr>
    </w:p>
    <w:p w14:paraId="5E29771F">
      <w:pPr>
        <w:spacing w:line="560" w:lineRule="exact"/>
        <w:jc w:val="center"/>
        <w:rPr>
          <w:rFonts w:ascii="方正小标宋_GBK" w:hAnsi="仿宋" w:eastAsia="方正小标宋_GBK" w:cs="宋体"/>
          <w:bCs/>
          <w:sz w:val="36"/>
          <w:szCs w:val="36"/>
        </w:rPr>
      </w:pPr>
      <w:r>
        <w:rPr>
          <w:rFonts w:hint="eastAsia" w:ascii="方正小标宋_GBK" w:hAnsi="仿宋" w:eastAsia="方正小标宋_GBK" w:cs="宋体"/>
          <w:bCs/>
          <w:sz w:val="36"/>
          <w:szCs w:val="36"/>
        </w:rPr>
        <w:t>天城镇人民政府2</w:t>
      </w:r>
      <w:r>
        <w:rPr>
          <w:rFonts w:ascii="方正小标宋_GBK" w:hAnsi="仿宋" w:eastAsia="方正小标宋_GBK" w:cs="宋体"/>
          <w:bCs/>
          <w:sz w:val="36"/>
          <w:szCs w:val="36"/>
        </w:rPr>
        <w:t>020</w:t>
      </w:r>
      <w:r>
        <w:rPr>
          <w:rFonts w:hint="eastAsia" w:ascii="方正小标宋_GBK" w:hAnsi="仿宋" w:eastAsia="方正小标宋_GBK" w:cs="宋体"/>
          <w:bCs/>
          <w:sz w:val="36"/>
          <w:szCs w:val="36"/>
        </w:rPr>
        <w:t>年</w:t>
      </w:r>
      <w:bookmarkEnd w:id="0"/>
      <w:bookmarkStart w:id="1" w:name="_Toc4591"/>
      <w:r>
        <w:rPr>
          <w:rFonts w:hint="eastAsia" w:ascii="方正小标宋_GBK" w:hAnsi="仿宋" w:eastAsia="方正小标宋_GBK" w:cs="宋体"/>
          <w:bCs/>
          <w:sz w:val="36"/>
          <w:szCs w:val="36"/>
        </w:rPr>
        <w:t>部门整体支出</w:t>
      </w:r>
    </w:p>
    <w:p w14:paraId="1A47AF05">
      <w:pPr>
        <w:spacing w:line="560" w:lineRule="exact"/>
        <w:jc w:val="center"/>
        <w:rPr>
          <w:rFonts w:ascii="方正小标宋_GBK" w:hAnsi="仿宋" w:eastAsia="方正小标宋_GBK" w:cs="宋体"/>
          <w:bCs/>
          <w:sz w:val="36"/>
          <w:szCs w:val="36"/>
        </w:rPr>
      </w:pPr>
      <w:r>
        <w:rPr>
          <w:rFonts w:hint="eastAsia" w:ascii="方正小标宋_GBK" w:hAnsi="仿宋" w:eastAsia="方正小标宋_GBK" w:cs="宋体"/>
          <w:bCs/>
          <w:sz w:val="36"/>
          <w:szCs w:val="36"/>
        </w:rPr>
        <w:t>绩效评价报告</w:t>
      </w:r>
      <w:bookmarkEnd w:id="1"/>
    </w:p>
    <w:p w14:paraId="6D3D98D4">
      <w:pPr>
        <w:spacing w:line="360" w:lineRule="auto"/>
        <w:jc w:val="center"/>
        <w:outlineLvl w:val="0"/>
        <w:rPr>
          <w:rFonts w:ascii="楷体" w:hAnsi="楷体" w:eastAsia="楷体" w:cs="楷体"/>
          <w:b/>
          <w:bCs/>
          <w:sz w:val="32"/>
          <w:szCs w:val="32"/>
        </w:rPr>
      </w:pPr>
      <w:bookmarkStart w:id="2" w:name="_Toc343"/>
      <w:r>
        <w:rPr>
          <w:rFonts w:hint="eastAsia" w:ascii="楷体" w:hAnsi="楷体" w:eastAsia="楷体" w:cs="楷体"/>
          <w:b/>
          <w:bCs/>
          <w:sz w:val="32"/>
          <w:szCs w:val="32"/>
        </w:rPr>
        <w:t>（缩略版）</w:t>
      </w:r>
      <w:bookmarkEnd w:id="2"/>
    </w:p>
    <w:p w14:paraId="4492BFAF">
      <w:pPr>
        <w:spacing w:line="360" w:lineRule="auto"/>
        <w:jc w:val="center"/>
        <w:rPr>
          <w:rFonts w:ascii="楷体" w:hAnsi="楷体" w:eastAsia="楷体" w:cs="楷体"/>
          <w:b/>
          <w:bCs/>
          <w:sz w:val="10"/>
          <w:szCs w:val="10"/>
        </w:rPr>
      </w:pPr>
    </w:p>
    <w:p w14:paraId="3CB27708">
      <w:pPr>
        <w:spacing w:line="560" w:lineRule="exact"/>
        <w:ind w:firstLine="600"/>
        <w:rPr>
          <w:rFonts w:ascii="黑体" w:hAnsi="黑体" w:eastAsia="黑体" w:cs="楷体"/>
          <w:bCs/>
          <w:sz w:val="32"/>
          <w:szCs w:val="32"/>
        </w:rPr>
      </w:pPr>
      <w:r>
        <w:rPr>
          <w:rFonts w:hint="eastAsia" w:ascii="黑体" w:hAnsi="黑体" w:eastAsia="黑体" w:cs="楷体"/>
          <w:bCs/>
          <w:sz w:val="32"/>
          <w:szCs w:val="32"/>
        </w:rPr>
        <w:t>一、评价结论</w:t>
      </w:r>
    </w:p>
    <w:p w14:paraId="0E9709DA">
      <w:pPr>
        <w:spacing w:line="560" w:lineRule="exact"/>
        <w:ind w:firstLine="600"/>
        <w:rPr>
          <w:rFonts w:ascii="楷体" w:hAnsi="楷体" w:eastAsia="楷体" w:cs="楷体"/>
          <w:bCs/>
          <w:sz w:val="32"/>
          <w:szCs w:val="32"/>
        </w:rPr>
      </w:pPr>
      <w:r>
        <w:rPr>
          <w:rFonts w:hint="eastAsia" w:ascii="楷体" w:hAnsi="楷体" w:eastAsia="楷体" w:cs="楷体"/>
          <w:bCs/>
          <w:sz w:val="32"/>
          <w:szCs w:val="32"/>
        </w:rPr>
        <w:t>（一）评价分数和等级</w:t>
      </w:r>
    </w:p>
    <w:p w14:paraId="0B4E3272">
      <w:pPr>
        <w:spacing w:line="560" w:lineRule="exact"/>
        <w:ind w:firstLine="600"/>
        <w:rPr>
          <w:rFonts w:ascii="仿宋" w:hAnsi="仿宋" w:eastAsia="仿宋" w:cs="宋体"/>
          <w:sz w:val="32"/>
          <w:szCs w:val="32"/>
        </w:rPr>
      </w:pPr>
      <w:r>
        <w:rPr>
          <w:rFonts w:hint="eastAsia" w:ascii="仿宋" w:hAnsi="仿宋" w:eastAsia="仿宋" w:cs="宋体"/>
          <w:sz w:val="32"/>
          <w:szCs w:val="32"/>
        </w:rPr>
        <w:t>天城镇人民政府2</w:t>
      </w:r>
      <w:r>
        <w:rPr>
          <w:rFonts w:ascii="仿宋" w:hAnsi="仿宋" w:eastAsia="仿宋" w:cs="宋体"/>
          <w:sz w:val="32"/>
          <w:szCs w:val="32"/>
        </w:rPr>
        <w:t>020</w:t>
      </w:r>
      <w:r>
        <w:rPr>
          <w:rFonts w:hint="eastAsia" w:ascii="仿宋" w:hAnsi="仿宋" w:eastAsia="仿宋" w:cs="宋体"/>
          <w:sz w:val="32"/>
          <w:szCs w:val="32"/>
        </w:rPr>
        <w:t>年</w:t>
      </w:r>
      <w:r>
        <w:rPr>
          <w:rFonts w:hint="eastAsia" w:ascii="Calibri" w:hAnsi="Calibri" w:eastAsia="仿宋" w:cs="Calibri"/>
          <w:sz w:val="32"/>
          <w:szCs w:val="32"/>
        </w:rPr>
        <w:t>部门整体支出</w:t>
      </w:r>
      <w:r>
        <w:rPr>
          <w:rFonts w:hint="eastAsia" w:ascii="仿宋" w:hAnsi="仿宋" w:eastAsia="仿宋" w:cs="宋体"/>
          <w:sz w:val="32"/>
          <w:szCs w:val="32"/>
        </w:rPr>
        <w:t>绩效评价指标分值100分，从</w:t>
      </w:r>
      <w:r>
        <w:rPr>
          <w:rFonts w:hint="eastAsia" w:ascii="仿宋" w:hAnsi="仿宋" w:eastAsia="仿宋" w:cs="仿宋"/>
          <w:sz w:val="32"/>
          <w:szCs w:val="32"/>
        </w:rPr>
        <w:t>部门的运行成本、管理效率、履职效能、履职社会效益、服务对象满意度</w:t>
      </w:r>
      <w:r>
        <w:rPr>
          <w:rFonts w:hint="eastAsia" w:ascii="仿宋" w:hAnsi="仿宋" w:eastAsia="仿宋" w:cs="宋体"/>
          <w:sz w:val="32"/>
          <w:szCs w:val="32"/>
        </w:rPr>
        <w:t>五大维度进行分析评价，综合得分为84分，评价等级为</w:t>
      </w:r>
      <w:r>
        <w:rPr>
          <w:rFonts w:hint="eastAsia" w:ascii="仿宋" w:hAnsi="仿宋" w:eastAsia="仿宋" w:cs="宋体"/>
          <w:b/>
          <w:sz w:val="32"/>
          <w:szCs w:val="32"/>
        </w:rPr>
        <w:t>“良”</w:t>
      </w:r>
      <w:r>
        <w:rPr>
          <w:rFonts w:hint="eastAsia" w:ascii="仿宋" w:hAnsi="仿宋" w:eastAsia="仿宋" w:cs="宋体"/>
          <w:sz w:val="32"/>
          <w:szCs w:val="32"/>
        </w:rPr>
        <w:t>。综合得分与等级如下：</w:t>
      </w:r>
    </w:p>
    <w:p w14:paraId="434C53CC">
      <w:pPr>
        <w:spacing w:line="560" w:lineRule="exact"/>
        <w:ind w:firstLine="2108" w:firstLineChars="700"/>
        <w:rPr>
          <w:rFonts w:ascii="宋体" w:hAnsi="宋体" w:cs="宋体"/>
          <w:b/>
          <w:sz w:val="30"/>
          <w:szCs w:val="30"/>
        </w:rPr>
      </w:pPr>
      <w:r>
        <w:rPr>
          <w:rFonts w:hint="eastAsia" w:ascii="宋体" w:hAnsi="宋体" w:cs="宋体"/>
          <w:b/>
          <w:sz w:val="30"/>
          <w:szCs w:val="30"/>
        </w:rPr>
        <w:t>项目绩效指标评价得分及等级表</w:t>
      </w:r>
    </w:p>
    <w:tbl>
      <w:tblPr>
        <w:tblStyle w:val="10"/>
        <w:tblW w:w="8364" w:type="dxa"/>
        <w:tblInd w:w="15" w:type="dxa"/>
        <w:tblLayout w:type="fixed"/>
        <w:tblCellMar>
          <w:top w:w="15" w:type="dxa"/>
          <w:left w:w="15" w:type="dxa"/>
          <w:bottom w:w="15" w:type="dxa"/>
          <w:right w:w="15" w:type="dxa"/>
        </w:tblCellMar>
      </w:tblPr>
      <w:tblGrid>
        <w:gridCol w:w="2410"/>
        <w:gridCol w:w="1985"/>
        <w:gridCol w:w="1984"/>
        <w:gridCol w:w="1985"/>
      </w:tblGrid>
      <w:tr w14:paraId="2E0803ED">
        <w:tblPrEx>
          <w:tblCellMar>
            <w:top w:w="15" w:type="dxa"/>
            <w:left w:w="15" w:type="dxa"/>
            <w:bottom w:w="15" w:type="dxa"/>
            <w:right w:w="15" w:type="dxa"/>
          </w:tblCellMar>
        </w:tblPrEx>
        <w:trPr>
          <w:trHeight w:val="598" w:hRule="atLeast"/>
        </w:trPr>
        <w:tc>
          <w:tcPr>
            <w:tcW w:w="2410" w:type="dxa"/>
            <w:tcBorders>
              <w:top w:val="single" w:color="000000" w:sz="4" w:space="0"/>
              <w:left w:val="single" w:color="000000" w:sz="4" w:space="0"/>
              <w:bottom w:val="single" w:color="000000" w:sz="4" w:space="0"/>
              <w:right w:val="single" w:color="000000" w:sz="4" w:space="0"/>
            </w:tcBorders>
            <w:vAlign w:val="center"/>
          </w:tcPr>
          <w:p w14:paraId="4747CEC8">
            <w:pPr>
              <w:widowControl/>
              <w:jc w:val="center"/>
              <w:textAlignment w:val="center"/>
              <w:rPr>
                <w:rFonts w:ascii="宋体" w:hAnsi="宋体" w:cs="仿宋"/>
                <w:b/>
                <w:color w:val="000000"/>
                <w:sz w:val="24"/>
              </w:rPr>
            </w:pPr>
            <w:r>
              <w:rPr>
                <w:rFonts w:hint="eastAsia" w:ascii="宋体" w:hAnsi="宋体" w:cs="仿宋"/>
                <w:b/>
                <w:color w:val="000000"/>
                <w:kern w:val="0"/>
                <w:sz w:val="24"/>
              </w:rPr>
              <w:t>一级指标</w:t>
            </w:r>
          </w:p>
        </w:tc>
        <w:tc>
          <w:tcPr>
            <w:tcW w:w="1985" w:type="dxa"/>
            <w:tcBorders>
              <w:top w:val="single" w:color="000000" w:sz="4" w:space="0"/>
              <w:left w:val="single" w:color="000000" w:sz="4" w:space="0"/>
              <w:bottom w:val="single" w:color="000000" w:sz="4" w:space="0"/>
              <w:right w:val="single" w:color="000000" w:sz="4" w:space="0"/>
            </w:tcBorders>
            <w:vAlign w:val="center"/>
          </w:tcPr>
          <w:p w14:paraId="42DF7F9E">
            <w:pPr>
              <w:widowControl/>
              <w:jc w:val="center"/>
              <w:textAlignment w:val="center"/>
              <w:rPr>
                <w:rFonts w:ascii="宋体" w:hAnsi="宋体" w:cs="仿宋"/>
                <w:b/>
                <w:color w:val="000000"/>
                <w:sz w:val="24"/>
              </w:rPr>
            </w:pPr>
            <w:r>
              <w:rPr>
                <w:rFonts w:hint="eastAsia" w:ascii="宋体" w:hAnsi="宋体" w:cs="仿宋"/>
                <w:b/>
                <w:color w:val="000000"/>
                <w:kern w:val="0"/>
                <w:sz w:val="24"/>
              </w:rPr>
              <w:t>标准分值</w:t>
            </w:r>
          </w:p>
        </w:tc>
        <w:tc>
          <w:tcPr>
            <w:tcW w:w="1984" w:type="dxa"/>
            <w:tcBorders>
              <w:top w:val="single" w:color="000000" w:sz="4" w:space="0"/>
              <w:left w:val="single" w:color="000000" w:sz="4" w:space="0"/>
              <w:bottom w:val="single" w:color="000000" w:sz="4" w:space="0"/>
              <w:right w:val="single" w:color="000000" w:sz="4" w:space="0"/>
            </w:tcBorders>
            <w:vAlign w:val="center"/>
          </w:tcPr>
          <w:p w14:paraId="3973DA91">
            <w:pPr>
              <w:jc w:val="center"/>
              <w:rPr>
                <w:rFonts w:ascii="宋体" w:hAnsi="宋体" w:cs="仿宋"/>
                <w:b/>
                <w:color w:val="000000"/>
                <w:sz w:val="24"/>
              </w:rPr>
            </w:pPr>
            <w:r>
              <w:rPr>
                <w:rFonts w:hint="eastAsia" w:ascii="宋体" w:hAnsi="宋体" w:cs="仿宋"/>
                <w:b/>
                <w:color w:val="000000"/>
                <w:sz w:val="24"/>
              </w:rPr>
              <w:t>评价得分</w:t>
            </w:r>
          </w:p>
        </w:tc>
        <w:tc>
          <w:tcPr>
            <w:tcW w:w="1985" w:type="dxa"/>
            <w:tcBorders>
              <w:top w:val="single" w:color="000000" w:sz="4" w:space="0"/>
              <w:left w:val="single" w:color="000000" w:sz="4" w:space="0"/>
              <w:bottom w:val="single" w:color="000000" w:sz="4" w:space="0"/>
              <w:right w:val="single" w:color="000000" w:sz="4" w:space="0"/>
            </w:tcBorders>
            <w:vAlign w:val="center"/>
          </w:tcPr>
          <w:p w14:paraId="7C38CE98">
            <w:pPr>
              <w:jc w:val="center"/>
              <w:rPr>
                <w:rFonts w:ascii="宋体" w:hAnsi="宋体" w:cs="仿宋"/>
                <w:b/>
                <w:color w:val="000000"/>
                <w:sz w:val="24"/>
              </w:rPr>
            </w:pPr>
            <w:r>
              <w:rPr>
                <w:rFonts w:hint="eastAsia" w:ascii="宋体" w:hAnsi="宋体" w:cs="仿宋"/>
                <w:b/>
                <w:color w:val="000000"/>
                <w:sz w:val="24"/>
              </w:rPr>
              <w:t>评价等级</w:t>
            </w:r>
          </w:p>
        </w:tc>
      </w:tr>
      <w:tr w14:paraId="43E49E27">
        <w:tblPrEx>
          <w:tblCellMar>
            <w:top w:w="15" w:type="dxa"/>
            <w:left w:w="15" w:type="dxa"/>
            <w:bottom w:w="15" w:type="dxa"/>
            <w:right w:w="15" w:type="dxa"/>
          </w:tblCellMar>
        </w:tblPrEx>
        <w:trPr>
          <w:trHeight w:val="380" w:hRule="atLeast"/>
        </w:trPr>
        <w:tc>
          <w:tcPr>
            <w:tcW w:w="2410" w:type="dxa"/>
            <w:tcBorders>
              <w:top w:val="single" w:color="000000" w:sz="4" w:space="0"/>
              <w:left w:val="single" w:color="000000" w:sz="4" w:space="0"/>
              <w:bottom w:val="single" w:color="000000" w:sz="4" w:space="0"/>
              <w:right w:val="single" w:color="000000" w:sz="4" w:space="0"/>
            </w:tcBorders>
            <w:vAlign w:val="center"/>
          </w:tcPr>
          <w:p w14:paraId="27E8B1C1">
            <w:pPr>
              <w:widowControl/>
              <w:jc w:val="center"/>
              <w:textAlignment w:val="center"/>
              <w:rPr>
                <w:rFonts w:ascii="宋体" w:hAnsi="宋体" w:cs="仿宋"/>
                <w:color w:val="000000"/>
                <w:sz w:val="24"/>
              </w:rPr>
            </w:pPr>
            <w:r>
              <w:rPr>
                <w:rFonts w:hint="eastAsia" w:ascii="宋体" w:hAnsi="宋体" w:cs="仿宋"/>
                <w:color w:val="000000"/>
                <w:kern w:val="0"/>
                <w:sz w:val="24"/>
              </w:rPr>
              <w:t>运行成本</w:t>
            </w:r>
          </w:p>
        </w:tc>
        <w:tc>
          <w:tcPr>
            <w:tcW w:w="1985" w:type="dxa"/>
            <w:tcBorders>
              <w:top w:val="single" w:color="000000" w:sz="4" w:space="0"/>
              <w:left w:val="single" w:color="000000" w:sz="4" w:space="0"/>
              <w:bottom w:val="single" w:color="000000" w:sz="4" w:space="0"/>
              <w:right w:val="single" w:color="000000" w:sz="4" w:space="0"/>
            </w:tcBorders>
            <w:vAlign w:val="center"/>
          </w:tcPr>
          <w:p w14:paraId="76A40DDF">
            <w:pPr>
              <w:widowControl/>
              <w:jc w:val="center"/>
              <w:textAlignment w:val="center"/>
              <w:rPr>
                <w:rFonts w:ascii="宋体" w:hAnsi="宋体" w:cs="仿宋"/>
                <w:color w:val="00000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14:paraId="7AA68CE5">
            <w:pPr>
              <w:widowControl/>
              <w:jc w:val="center"/>
              <w:textAlignment w:val="center"/>
              <w:rPr>
                <w:rFonts w:ascii="宋体" w:hAnsi="宋体" w:cs="仿宋"/>
                <w:color w:val="000000"/>
                <w:sz w:val="24"/>
              </w:rPr>
            </w:pPr>
            <w:r>
              <w:rPr>
                <w:rFonts w:hint="eastAsia" w:ascii="宋体" w:hAnsi="宋体" w:cs="仿宋"/>
                <w:color w:val="000000"/>
                <w:sz w:val="24"/>
              </w:rPr>
              <w:t>15</w:t>
            </w:r>
          </w:p>
        </w:tc>
        <w:tc>
          <w:tcPr>
            <w:tcW w:w="1985" w:type="dxa"/>
            <w:tcBorders>
              <w:top w:val="single" w:color="000000" w:sz="4" w:space="0"/>
              <w:left w:val="single" w:color="000000" w:sz="4" w:space="0"/>
              <w:bottom w:val="single" w:color="000000" w:sz="4" w:space="0"/>
              <w:right w:val="single" w:color="000000" w:sz="4" w:space="0"/>
            </w:tcBorders>
            <w:vAlign w:val="center"/>
          </w:tcPr>
          <w:p w14:paraId="2BA1039C">
            <w:pPr>
              <w:widowControl/>
              <w:jc w:val="center"/>
              <w:textAlignment w:val="center"/>
              <w:rPr>
                <w:rFonts w:ascii="宋体" w:hAnsi="宋体" w:cs="仿宋"/>
                <w:color w:val="000000"/>
                <w:sz w:val="24"/>
              </w:rPr>
            </w:pPr>
            <w:r>
              <w:rPr>
                <w:rFonts w:ascii="宋体" w:hAnsi="宋体" w:cs="仿宋"/>
                <w:color w:val="000000"/>
                <w:sz w:val="24"/>
              </w:rPr>
              <w:t>中</w:t>
            </w:r>
          </w:p>
        </w:tc>
      </w:tr>
      <w:tr w14:paraId="7B3076DB">
        <w:tblPrEx>
          <w:tblCellMar>
            <w:top w:w="15" w:type="dxa"/>
            <w:left w:w="15" w:type="dxa"/>
            <w:bottom w:w="15" w:type="dxa"/>
            <w:right w:w="15" w:type="dxa"/>
          </w:tblCellMar>
        </w:tblPrEx>
        <w:trPr>
          <w:trHeight w:val="374" w:hRule="atLeast"/>
        </w:trPr>
        <w:tc>
          <w:tcPr>
            <w:tcW w:w="2410" w:type="dxa"/>
            <w:tcBorders>
              <w:top w:val="single" w:color="000000" w:sz="4" w:space="0"/>
              <w:left w:val="single" w:color="000000" w:sz="4" w:space="0"/>
              <w:bottom w:val="single" w:color="000000" w:sz="4" w:space="0"/>
              <w:right w:val="single" w:color="000000" w:sz="4" w:space="0"/>
            </w:tcBorders>
            <w:vAlign w:val="center"/>
          </w:tcPr>
          <w:p w14:paraId="1A20EB49">
            <w:pPr>
              <w:widowControl/>
              <w:jc w:val="center"/>
              <w:textAlignment w:val="center"/>
              <w:rPr>
                <w:rFonts w:ascii="宋体" w:hAnsi="宋体" w:cs="仿宋"/>
                <w:color w:val="000000"/>
                <w:sz w:val="24"/>
              </w:rPr>
            </w:pPr>
            <w:r>
              <w:rPr>
                <w:rFonts w:hint="eastAsia" w:ascii="宋体" w:hAnsi="宋体" w:cs="仿宋"/>
                <w:color w:val="000000"/>
                <w:kern w:val="0"/>
                <w:sz w:val="24"/>
              </w:rPr>
              <w:t>管理效率</w:t>
            </w:r>
          </w:p>
        </w:tc>
        <w:tc>
          <w:tcPr>
            <w:tcW w:w="1985" w:type="dxa"/>
            <w:tcBorders>
              <w:top w:val="single" w:color="000000" w:sz="4" w:space="0"/>
              <w:left w:val="single" w:color="000000" w:sz="4" w:space="0"/>
              <w:bottom w:val="single" w:color="000000" w:sz="4" w:space="0"/>
              <w:right w:val="single" w:color="000000" w:sz="4" w:space="0"/>
            </w:tcBorders>
            <w:vAlign w:val="center"/>
          </w:tcPr>
          <w:p w14:paraId="021605C9">
            <w:pPr>
              <w:widowControl/>
              <w:jc w:val="center"/>
              <w:textAlignment w:val="center"/>
              <w:rPr>
                <w:rFonts w:ascii="宋体" w:hAnsi="宋体" w:cs="仿宋"/>
                <w:color w:val="000000"/>
                <w:sz w:val="24"/>
              </w:rPr>
            </w:pPr>
            <w:r>
              <w:rPr>
                <w:rFonts w:hint="eastAsia" w:ascii="宋体" w:hAnsi="宋体" w:cs="仿宋"/>
                <w:color w:val="000000"/>
                <w:kern w:val="0"/>
                <w:sz w:val="24"/>
              </w:rPr>
              <w:t>30</w:t>
            </w:r>
          </w:p>
        </w:tc>
        <w:tc>
          <w:tcPr>
            <w:tcW w:w="1984" w:type="dxa"/>
            <w:tcBorders>
              <w:top w:val="single" w:color="000000" w:sz="4" w:space="0"/>
              <w:left w:val="single" w:color="000000" w:sz="4" w:space="0"/>
              <w:bottom w:val="single" w:color="000000" w:sz="4" w:space="0"/>
              <w:right w:val="single" w:color="000000" w:sz="4" w:space="0"/>
            </w:tcBorders>
            <w:vAlign w:val="center"/>
          </w:tcPr>
          <w:p w14:paraId="3E3BDECB">
            <w:pPr>
              <w:widowControl/>
              <w:jc w:val="center"/>
              <w:textAlignment w:val="center"/>
              <w:rPr>
                <w:rFonts w:ascii="宋体" w:hAnsi="宋体" w:cs="仿宋"/>
                <w:color w:val="000000"/>
                <w:sz w:val="24"/>
              </w:rPr>
            </w:pPr>
            <w:r>
              <w:rPr>
                <w:rFonts w:hint="eastAsia" w:ascii="宋体" w:hAnsi="宋体" w:cs="仿宋"/>
                <w:color w:val="000000"/>
                <w:sz w:val="24"/>
              </w:rPr>
              <w:t>19</w:t>
            </w:r>
          </w:p>
        </w:tc>
        <w:tc>
          <w:tcPr>
            <w:tcW w:w="1985" w:type="dxa"/>
            <w:tcBorders>
              <w:top w:val="single" w:color="000000" w:sz="4" w:space="0"/>
              <w:left w:val="single" w:color="000000" w:sz="4" w:space="0"/>
              <w:bottom w:val="single" w:color="000000" w:sz="4" w:space="0"/>
              <w:right w:val="single" w:color="000000" w:sz="4" w:space="0"/>
            </w:tcBorders>
            <w:vAlign w:val="center"/>
          </w:tcPr>
          <w:p w14:paraId="7F80C916">
            <w:pPr>
              <w:widowControl/>
              <w:jc w:val="center"/>
              <w:textAlignment w:val="center"/>
              <w:rPr>
                <w:rFonts w:ascii="宋体" w:hAnsi="宋体" w:cs="仿宋"/>
                <w:color w:val="000000"/>
                <w:sz w:val="24"/>
              </w:rPr>
            </w:pPr>
            <w:r>
              <w:rPr>
                <w:rFonts w:hint="eastAsia" w:ascii="宋体" w:hAnsi="宋体" w:cs="仿宋"/>
                <w:color w:val="000000"/>
                <w:sz w:val="24"/>
              </w:rPr>
              <w:t>中</w:t>
            </w:r>
          </w:p>
        </w:tc>
      </w:tr>
      <w:tr w14:paraId="6DFF3623">
        <w:tblPrEx>
          <w:tblCellMar>
            <w:top w:w="15" w:type="dxa"/>
            <w:left w:w="15" w:type="dxa"/>
            <w:bottom w:w="15" w:type="dxa"/>
            <w:right w:w="15" w:type="dxa"/>
          </w:tblCellMar>
        </w:tblPrEx>
        <w:trPr>
          <w:trHeight w:val="401" w:hRule="atLeast"/>
        </w:trPr>
        <w:tc>
          <w:tcPr>
            <w:tcW w:w="2410" w:type="dxa"/>
            <w:tcBorders>
              <w:top w:val="single" w:color="000000" w:sz="4" w:space="0"/>
              <w:left w:val="single" w:color="000000" w:sz="4" w:space="0"/>
              <w:bottom w:val="single" w:color="000000" w:sz="4" w:space="0"/>
              <w:right w:val="single" w:color="000000" w:sz="4" w:space="0"/>
            </w:tcBorders>
            <w:vAlign w:val="center"/>
          </w:tcPr>
          <w:p w14:paraId="12EADE49">
            <w:pPr>
              <w:widowControl/>
              <w:jc w:val="center"/>
              <w:textAlignment w:val="center"/>
              <w:rPr>
                <w:rFonts w:ascii="宋体" w:hAnsi="宋体" w:cs="仿宋"/>
                <w:color w:val="000000"/>
                <w:sz w:val="24"/>
              </w:rPr>
            </w:pPr>
            <w:r>
              <w:rPr>
                <w:rFonts w:hint="eastAsia" w:ascii="宋体" w:hAnsi="宋体" w:cs="仿宋"/>
                <w:color w:val="000000"/>
                <w:kern w:val="0"/>
                <w:sz w:val="24"/>
              </w:rPr>
              <w:t>履职效能</w:t>
            </w:r>
          </w:p>
        </w:tc>
        <w:tc>
          <w:tcPr>
            <w:tcW w:w="1985" w:type="dxa"/>
            <w:tcBorders>
              <w:top w:val="single" w:color="000000" w:sz="4" w:space="0"/>
              <w:left w:val="single" w:color="000000" w:sz="4" w:space="0"/>
              <w:bottom w:val="single" w:color="000000" w:sz="4" w:space="0"/>
              <w:right w:val="single" w:color="000000" w:sz="4" w:space="0"/>
            </w:tcBorders>
            <w:vAlign w:val="center"/>
          </w:tcPr>
          <w:p w14:paraId="513F5058">
            <w:pPr>
              <w:widowControl/>
              <w:jc w:val="center"/>
              <w:textAlignment w:val="center"/>
              <w:rPr>
                <w:rFonts w:ascii="宋体" w:hAnsi="宋体" w:cs="仿宋"/>
                <w:color w:val="00000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14:paraId="3EB6D155">
            <w:pPr>
              <w:widowControl/>
              <w:jc w:val="center"/>
              <w:textAlignment w:val="center"/>
              <w:rPr>
                <w:rFonts w:ascii="宋体" w:hAnsi="宋体" w:cs="仿宋"/>
                <w:color w:val="000000"/>
                <w:sz w:val="24"/>
              </w:rPr>
            </w:pPr>
            <w:r>
              <w:rPr>
                <w:rFonts w:hint="eastAsia" w:ascii="宋体" w:hAnsi="宋体" w:cs="仿宋"/>
                <w:color w:val="000000"/>
                <w:sz w:val="24"/>
              </w:rPr>
              <w:t>20</w:t>
            </w:r>
          </w:p>
        </w:tc>
        <w:tc>
          <w:tcPr>
            <w:tcW w:w="1985" w:type="dxa"/>
            <w:tcBorders>
              <w:top w:val="single" w:color="000000" w:sz="4" w:space="0"/>
              <w:left w:val="single" w:color="000000" w:sz="4" w:space="0"/>
              <w:bottom w:val="single" w:color="000000" w:sz="4" w:space="0"/>
              <w:right w:val="single" w:color="000000" w:sz="4" w:space="0"/>
            </w:tcBorders>
            <w:vAlign w:val="center"/>
          </w:tcPr>
          <w:p w14:paraId="759164D9">
            <w:pPr>
              <w:widowControl/>
              <w:jc w:val="center"/>
              <w:textAlignment w:val="center"/>
              <w:rPr>
                <w:rFonts w:ascii="宋体" w:hAnsi="宋体" w:cs="仿宋"/>
                <w:color w:val="000000"/>
                <w:sz w:val="24"/>
              </w:rPr>
            </w:pPr>
            <w:r>
              <w:rPr>
                <w:rFonts w:hint="eastAsia" w:ascii="宋体" w:hAnsi="宋体" w:cs="仿宋"/>
                <w:color w:val="000000"/>
                <w:sz w:val="24"/>
              </w:rPr>
              <w:t>优</w:t>
            </w:r>
          </w:p>
        </w:tc>
      </w:tr>
      <w:tr w14:paraId="12DE3074">
        <w:tblPrEx>
          <w:tblCellMar>
            <w:top w:w="15" w:type="dxa"/>
            <w:left w:w="15" w:type="dxa"/>
            <w:bottom w:w="15" w:type="dxa"/>
            <w:right w:w="15" w:type="dxa"/>
          </w:tblCellMar>
        </w:tblPrEx>
        <w:trPr>
          <w:trHeight w:val="409" w:hRule="atLeast"/>
        </w:trPr>
        <w:tc>
          <w:tcPr>
            <w:tcW w:w="2410" w:type="dxa"/>
            <w:tcBorders>
              <w:top w:val="single" w:color="000000" w:sz="4" w:space="0"/>
              <w:left w:val="single" w:color="000000" w:sz="4" w:space="0"/>
              <w:bottom w:val="single" w:color="000000" w:sz="4" w:space="0"/>
              <w:right w:val="single" w:color="000000" w:sz="4" w:space="0"/>
            </w:tcBorders>
            <w:vAlign w:val="center"/>
          </w:tcPr>
          <w:p w14:paraId="39216B65">
            <w:pPr>
              <w:widowControl/>
              <w:jc w:val="center"/>
              <w:textAlignment w:val="center"/>
              <w:rPr>
                <w:rFonts w:ascii="宋体" w:hAnsi="宋体" w:cs="仿宋"/>
                <w:color w:val="000000"/>
                <w:kern w:val="0"/>
                <w:sz w:val="24"/>
              </w:rPr>
            </w:pPr>
            <w:r>
              <w:rPr>
                <w:rFonts w:hint="eastAsia" w:ascii="宋体" w:hAnsi="宋体" w:cs="仿宋"/>
                <w:color w:val="000000"/>
                <w:kern w:val="0"/>
                <w:sz w:val="24"/>
              </w:rPr>
              <w:t>社会效益</w:t>
            </w:r>
          </w:p>
        </w:tc>
        <w:tc>
          <w:tcPr>
            <w:tcW w:w="1985" w:type="dxa"/>
            <w:tcBorders>
              <w:top w:val="single" w:color="000000" w:sz="4" w:space="0"/>
              <w:left w:val="single" w:color="000000" w:sz="4" w:space="0"/>
              <w:bottom w:val="single" w:color="000000" w:sz="4" w:space="0"/>
              <w:right w:val="single" w:color="000000" w:sz="4" w:space="0"/>
            </w:tcBorders>
            <w:vAlign w:val="center"/>
          </w:tcPr>
          <w:p w14:paraId="466D5F6F">
            <w:pPr>
              <w:widowControl/>
              <w:jc w:val="center"/>
              <w:textAlignment w:val="center"/>
              <w:rPr>
                <w:rFonts w:ascii="宋体" w:hAnsi="宋体" w:cs="仿宋"/>
                <w:color w:val="000000"/>
                <w:kern w:val="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14:paraId="6BCC7192">
            <w:pPr>
              <w:widowControl/>
              <w:jc w:val="center"/>
              <w:textAlignment w:val="center"/>
              <w:rPr>
                <w:rFonts w:ascii="宋体" w:hAnsi="宋体" w:cs="仿宋"/>
                <w:color w:val="000000"/>
                <w:kern w:val="0"/>
                <w:sz w:val="24"/>
              </w:rPr>
            </w:pPr>
            <w:r>
              <w:rPr>
                <w:rFonts w:hint="eastAsia" w:ascii="宋体" w:hAnsi="宋体" w:cs="仿宋"/>
                <w:color w:val="000000"/>
                <w:kern w:val="0"/>
                <w:sz w:val="24"/>
              </w:rPr>
              <w:t>20</w:t>
            </w:r>
          </w:p>
        </w:tc>
        <w:tc>
          <w:tcPr>
            <w:tcW w:w="1985" w:type="dxa"/>
            <w:tcBorders>
              <w:top w:val="single" w:color="000000" w:sz="4" w:space="0"/>
              <w:left w:val="single" w:color="000000" w:sz="4" w:space="0"/>
              <w:bottom w:val="single" w:color="000000" w:sz="4" w:space="0"/>
              <w:right w:val="single" w:color="000000" w:sz="4" w:space="0"/>
            </w:tcBorders>
            <w:vAlign w:val="center"/>
          </w:tcPr>
          <w:p w14:paraId="7E17BA9C">
            <w:pPr>
              <w:widowControl/>
              <w:jc w:val="center"/>
              <w:textAlignment w:val="center"/>
              <w:rPr>
                <w:rFonts w:ascii="宋体" w:hAnsi="宋体" w:cs="仿宋"/>
                <w:color w:val="000000"/>
                <w:sz w:val="24"/>
              </w:rPr>
            </w:pPr>
            <w:r>
              <w:rPr>
                <w:rFonts w:hint="eastAsia" w:ascii="宋体" w:hAnsi="宋体" w:cs="仿宋"/>
                <w:color w:val="000000"/>
                <w:sz w:val="24"/>
              </w:rPr>
              <w:t>优</w:t>
            </w:r>
          </w:p>
        </w:tc>
      </w:tr>
      <w:tr w14:paraId="26B3A6BE">
        <w:tblPrEx>
          <w:tblCellMar>
            <w:top w:w="15" w:type="dxa"/>
            <w:left w:w="15" w:type="dxa"/>
            <w:bottom w:w="15" w:type="dxa"/>
            <w:right w:w="15" w:type="dxa"/>
          </w:tblCellMar>
        </w:tblPrEx>
        <w:trPr>
          <w:trHeight w:val="409" w:hRule="atLeast"/>
        </w:trPr>
        <w:tc>
          <w:tcPr>
            <w:tcW w:w="2410" w:type="dxa"/>
            <w:tcBorders>
              <w:top w:val="single" w:color="000000" w:sz="4" w:space="0"/>
              <w:left w:val="single" w:color="000000" w:sz="4" w:space="0"/>
              <w:bottom w:val="single" w:color="000000" w:sz="4" w:space="0"/>
              <w:right w:val="single" w:color="000000" w:sz="4" w:space="0"/>
            </w:tcBorders>
            <w:vAlign w:val="center"/>
          </w:tcPr>
          <w:p w14:paraId="30A5BF16">
            <w:pPr>
              <w:widowControl/>
              <w:jc w:val="center"/>
              <w:textAlignment w:val="center"/>
              <w:rPr>
                <w:rFonts w:ascii="宋体" w:hAnsi="宋体" w:cs="仿宋"/>
                <w:color w:val="000000"/>
                <w:sz w:val="24"/>
              </w:rPr>
            </w:pPr>
            <w:r>
              <w:rPr>
                <w:rFonts w:hint="eastAsia" w:ascii="宋体" w:hAnsi="宋体" w:cs="仿宋"/>
                <w:color w:val="000000"/>
                <w:kern w:val="0"/>
                <w:sz w:val="24"/>
              </w:rPr>
              <w:t>服务对象满意度</w:t>
            </w:r>
          </w:p>
        </w:tc>
        <w:tc>
          <w:tcPr>
            <w:tcW w:w="1985" w:type="dxa"/>
            <w:tcBorders>
              <w:top w:val="single" w:color="000000" w:sz="4" w:space="0"/>
              <w:left w:val="single" w:color="000000" w:sz="4" w:space="0"/>
              <w:bottom w:val="single" w:color="000000" w:sz="4" w:space="0"/>
              <w:right w:val="single" w:color="000000" w:sz="4" w:space="0"/>
            </w:tcBorders>
            <w:vAlign w:val="center"/>
          </w:tcPr>
          <w:p w14:paraId="2A70D2D0">
            <w:pPr>
              <w:widowControl/>
              <w:jc w:val="center"/>
              <w:textAlignment w:val="center"/>
              <w:rPr>
                <w:rFonts w:ascii="宋体" w:hAnsi="宋体" w:cs="仿宋"/>
                <w:color w:val="000000"/>
                <w:sz w:val="24"/>
              </w:rPr>
            </w:pPr>
            <w:r>
              <w:rPr>
                <w:rFonts w:hint="eastAsia" w:ascii="宋体" w:hAnsi="宋体" w:cs="仿宋"/>
                <w:color w:val="000000"/>
                <w:kern w:val="0"/>
                <w:sz w:val="24"/>
              </w:rPr>
              <w:t>10</w:t>
            </w:r>
          </w:p>
        </w:tc>
        <w:tc>
          <w:tcPr>
            <w:tcW w:w="1984" w:type="dxa"/>
            <w:tcBorders>
              <w:top w:val="single" w:color="000000" w:sz="4" w:space="0"/>
              <w:left w:val="single" w:color="000000" w:sz="4" w:space="0"/>
              <w:bottom w:val="single" w:color="000000" w:sz="4" w:space="0"/>
              <w:right w:val="single" w:color="000000" w:sz="4" w:space="0"/>
            </w:tcBorders>
            <w:vAlign w:val="center"/>
          </w:tcPr>
          <w:p w14:paraId="4BA1F28C">
            <w:pPr>
              <w:widowControl/>
              <w:jc w:val="center"/>
              <w:textAlignment w:val="center"/>
              <w:rPr>
                <w:rFonts w:ascii="宋体" w:hAnsi="宋体" w:cs="仿宋"/>
                <w:color w:val="000000"/>
                <w:sz w:val="24"/>
              </w:rPr>
            </w:pPr>
            <w:r>
              <w:rPr>
                <w:rFonts w:hint="eastAsia" w:ascii="宋体" w:hAnsi="宋体" w:cs="仿宋"/>
                <w:color w:val="000000"/>
                <w:sz w:val="24"/>
              </w:rPr>
              <w:t>10</w:t>
            </w:r>
          </w:p>
        </w:tc>
        <w:tc>
          <w:tcPr>
            <w:tcW w:w="1985" w:type="dxa"/>
            <w:tcBorders>
              <w:top w:val="single" w:color="000000" w:sz="4" w:space="0"/>
              <w:left w:val="single" w:color="000000" w:sz="4" w:space="0"/>
              <w:bottom w:val="single" w:color="000000" w:sz="4" w:space="0"/>
              <w:right w:val="single" w:color="000000" w:sz="4" w:space="0"/>
            </w:tcBorders>
            <w:vAlign w:val="center"/>
          </w:tcPr>
          <w:p w14:paraId="1334A327">
            <w:pPr>
              <w:widowControl/>
              <w:jc w:val="center"/>
              <w:textAlignment w:val="center"/>
              <w:rPr>
                <w:rFonts w:ascii="宋体" w:hAnsi="宋体" w:cs="仿宋"/>
                <w:color w:val="000000"/>
                <w:sz w:val="24"/>
              </w:rPr>
            </w:pPr>
            <w:r>
              <w:rPr>
                <w:rFonts w:hint="eastAsia" w:ascii="宋体" w:hAnsi="宋体" w:cs="仿宋"/>
                <w:color w:val="000000"/>
                <w:sz w:val="24"/>
              </w:rPr>
              <w:t>优</w:t>
            </w:r>
          </w:p>
        </w:tc>
      </w:tr>
      <w:tr w14:paraId="3A7AF257">
        <w:tblPrEx>
          <w:tblCellMar>
            <w:top w:w="15" w:type="dxa"/>
            <w:left w:w="15" w:type="dxa"/>
            <w:bottom w:w="15" w:type="dxa"/>
            <w:right w:w="15" w:type="dxa"/>
          </w:tblCellMar>
        </w:tblPrEx>
        <w:trPr>
          <w:trHeight w:val="375" w:hRule="atLeast"/>
        </w:trPr>
        <w:tc>
          <w:tcPr>
            <w:tcW w:w="2410" w:type="dxa"/>
            <w:tcBorders>
              <w:top w:val="single" w:color="000000" w:sz="4" w:space="0"/>
              <w:left w:val="single" w:color="000000" w:sz="4" w:space="0"/>
              <w:bottom w:val="single" w:color="000000" w:sz="4" w:space="0"/>
              <w:right w:val="single" w:color="000000" w:sz="4" w:space="0"/>
            </w:tcBorders>
            <w:vAlign w:val="center"/>
          </w:tcPr>
          <w:p w14:paraId="4198018D">
            <w:pPr>
              <w:widowControl/>
              <w:jc w:val="center"/>
              <w:textAlignment w:val="center"/>
              <w:rPr>
                <w:rFonts w:ascii="宋体" w:hAnsi="宋体" w:cs="仿宋"/>
                <w:b/>
                <w:color w:val="000000"/>
                <w:sz w:val="24"/>
              </w:rPr>
            </w:pPr>
            <w:r>
              <w:rPr>
                <w:rFonts w:hint="eastAsia" w:ascii="宋体" w:hAnsi="宋体" w:cs="仿宋"/>
                <w:b/>
                <w:color w:val="000000"/>
                <w:kern w:val="0"/>
                <w:sz w:val="24"/>
              </w:rPr>
              <w:t>综合得分与等级</w:t>
            </w:r>
          </w:p>
        </w:tc>
        <w:tc>
          <w:tcPr>
            <w:tcW w:w="1985" w:type="dxa"/>
            <w:tcBorders>
              <w:top w:val="single" w:color="000000" w:sz="4" w:space="0"/>
              <w:left w:val="single" w:color="000000" w:sz="4" w:space="0"/>
              <w:bottom w:val="single" w:color="000000" w:sz="4" w:space="0"/>
              <w:right w:val="single" w:color="000000" w:sz="4" w:space="0"/>
            </w:tcBorders>
            <w:vAlign w:val="center"/>
          </w:tcPr>
          <w:p w14:paraId="0FAC1DD2">
            <w:pPr>
              <w:widowControl/>
              <w:jc w:val="center"/>
              <w:textAlignment w:val="center"/>
              <w:rPr>
                <w:rFonts w:ascii="宋体" w:hAnsi="宋体" w:cs="仿宋"/>
                <w:b/>
                <w:color w:val="000000"/>
                <w:sz w:val="24"/>
              </w:rPr>
            </w:pPr>
            <w:r>
              <w:rPr>
                <w:rFonts w:hint="eastAsia" w:ascii="宋体" w:hAnsi="宋体" w:cs="仿宋"/>
                <w:b/>
                <w:color w:val="000000"/>
                <w:kern w:val="0"/>
                <w:sz w:val="24"/>
              </w:rPr>
              <w:t>100</w:t>
            </w:r>
          </w:p>
        </w:tc>
        <w:tc>
          <w:tcPr>
            <w:tcW w:w="1984" w:type="dxa"/>
            <w:tcBorders>
              <w:top w:val="single" w:color="000000" w:sz="4" w:space="0"/>
              <w:left w:val="single" w:color="000000" w:sz="4" w:space="0"/>
              <w:bottom w:val="single" w:color="000000" w:sz="4" w:space="0"/>
              <w:right w:val="single" w:color="000000" w:sz="4" w:space="0"/>
            </w:tcBorders>
            <w:vAlign w:val="center"/>
          </w:tcPr>
          <w:p w14:paraId="78C828CD">
            <w:pPr>
              <w:widowControl/>
              <w:jc w:val="center"/>
              <w:textAlignment w:val="center"/>
              <w:rPr>
                <w:rFonts w:ascii="宋体" w:hAnsi="宋体" w:cs="仿宋"/>
                <w:b/>
                <w:color w:val="000000"/>
                <w:sz w:val="24"/>
              </w:rPr>
            </w:pPr>
            <w:r>
              <w:rPr>
                <w:rFonts w:hint="eastAsia" w:ascii="宋体" w:hAnsi="宋体" w:cs="仿宋"/>
                <w:b/>
                <w:color w:val="000000"/>
                <w:sz w:val="24"/>
              </w:rPr>
              <w:t>84</w:t>
            </w:r>
          </w:p>
        </w:tc>
        <w:tc>
          <w:tcPr>
            <w:tcW w:w="1985" w:type="dxa"/>
            <w:tcBorders>
              <w:top w:val="single" w:color="000000" w:sz="4" w:space="0"/>
              <w:left w:val="single" w:color="000000" w:sz="4" w:space="0"/>
              <w:bottom w:val="single" w:color="000000" w:sz="4" w:space="0"/>
              <w:right w:val="single" w:color="000000" w:sz="4" w:space="0"/>
            </w:tcBorders>
            <w:vAlign w:val="center"/>
          </w:tcPr>
          <w:p w14:paraId="72C51223">
            <w:pPr>
              <w:widowControl/>
              <w:jc w:val="center"/>
              <w:textAlignment w:val="center"/>
              <w:rPr>
                <w:rFonts w:ascii="宋体" w:hAnsi="宋体" w:cs="仿宋"/>
                <w:b/>
                <w:color w:val="000000"/>
                <w:sz w:val="24"/>
              </w:rPr>
            </w:pPr>
            <w:r>
              <w:rPr>
                <w:rFonts w:hint="eastAsia" w:ascii="宋体" w:hAnsi="宋体" w:cs="仿宋"/>
                <w:b/>
                <w:color w:val="000000"/>
                <w:kern w:val="0"/>
                <w:sz w:val="24"/>
              </w:rPr>
              <w:t>良</w:t>
            </w:r>
          </w:p>
        </w:tc>
      </w:tr>
    </w:tbl>
    <w:p w14:paraId="0D9D907A">
      <w:pPr>
        <w:spacing w:line="560" w:lineRule="exact"/>
        <w:ind w:firstLine="600"/>
        <w:rPr>
          <w:rFonts w:ascii="仿宋" w:hAnsi="仿宋" w:eastAsia="仿宋" w:cs="宋体"/>
          <w:b/>
          <w:bCs/>
          <w:sz w:val="32"/>
          <w:szCs w:val="32"/>
        </w:rPr>
      </w:pPr>
    </w:p>
    <w:p w14:paraId="139AC004">
      <w:pPr>
        <w:tabs>
          <w:tab w:val="left" w:pos="6403"/>
        </w:tabs>
        <w:spacing w:line="560" w:lineRule="exact"/>
        <w:ind w:firstLine="640" w:firstLineChars="200"/>
        <w:rPr>
          <w:sz w:val="28"/>
          <w:szCs w:val="28"/>
        </w:rPr>
      </w:pPr>
      <w:r>
        <w:rPr>
          <w:rFonts w:hint="eastAsia" w:ascii="楷体" w:hAnsi="楷体" w:eastAsia="楷体" w:cs="宋体"/>
          <w:sz w:val="32"/>
          <w:szCs w:val="32"/>
        </w:rPr>
        <w:t>（二）绩效指标整体完成情况分析</w:t>
      </w:r>
      <w:r>
        <w:rPr>
          <w:rFonts w:hint="eastAsia"/>
          <w:b/>
          <w:bCs/>
          <w:sz w:val="28"/>
          <w:szCs w:val="28"/>
        </w:rPr>
        <w:tab/>
      </w:r>
    </w:p>
    <w:p w14:paraId="56FC7021">
      <w:pPr>
        <w:spacing w:line="560" w:lineRule="exact"/>
        <w:ind w:firstLine="643" w:firstLineChars="200"/>
        <w:rPr>
          <w:rFonts w:ascii="仿宋" w:hAnsi="仿宋" w:eastAsia="仿宋"/>
          <w:sz w:val="32"/>
          <w:szCs w:val="32"/>
          <w:highlight w:val="yellow"/>
        </w:rPr>
      </w:pPr>
      <w:r>
        <w:rPr>
          <w:rFonts w:ascii="仿宋" w:hAnsi="仿宋" w:eastAsia="仿宋"/>
          <w:b/>
          <w:bCs/>
          <w:sz w:val="32"/>
          <w:szCs w:val="32"/>
        </w:rPr>
        <w:t>1.</w:t>
      </w:r>
      <w:r>
        <w:rPr>
          <w:rFonts w:hint="eastAsia" w:ascii="楷体" w:hAnsi="楷体" w:eastAsia="楷体" w:cs="宋体"/>
          <w:b/>
          <w:sz w:val="32"/>
          <w:szCs w:val="32"/>
        </w:rPr>
        <w:t>运行成本。</w:t>
      </w:r>
      <w:bookmarkStart w:id="3" w:name="_Hlk70499057"/>
      <w:r>
        <w:rPr>
          <w:rFonts w:hint="eastAsia" w:ascii="仿宋" w:hAnsi="仿宋" w:eastAsia="仿宋" w:cs="宋体"/>
          <w:bCs/>
          <w:sz w:val="32"/>
          <w:szCs w:val="32"/>
        </w:rPr>
        <w:t>运行成本权重20分，</w:t>
      </w:r>
      <w:r>
        <w:rPr>
          <w:rFonts w:hint="eastAsia" w:ascii="仿宋" w:hAnsi="仿宋" w:eastAsia="仿宋"/>
          <w:sz w:val="32"/>
          <w:szCs w:val="32"/>
        </w:rPr>
        <w:t>得分15分，扣5分</w:t>
      </w:r>
      <w:bookmarkEnd w:id="3"/>
      <w:r>
        <w:rPr>
          <w:rFonts w:hint="eastAsia" w:ascii="仿宋" w:hAnsi="仿宋" w:eastAsia="仿宋"/>
          <w:sz w:val="32"/>
          <w:szCs w:val="32"/>
        </w:rPr>
        <w:t>。</w:t>
      </w:r>
      <w:bookmarkStart w:id="4" w:name="_Hlk65076934"/>
      <w:r>
        <w:rPr>
          <w:rFonts w:hint="eastAsia" w:ascii="仿宋" w:hAnsi="仿宋" w:eastAsia="仿宋"/>
          <w:sz w:val="32"/>
          <w:szCs w:val="32"/>
        </w:rPr>
        <w:t>主要扣分点在于：2020年基本支出1,880.21万元，比2019年的决算金额944.37万元增加935.84万元，部门基本支出变动率99.1%。基本支出用于行政运行，其中人员经费及公用经费由于疫情防控补助而大幅增加。</w:t>
      </w:r>
    </w:p>
    <w:bookmarkEnd w:id="4"/>
    <w:p w14:paraId="7118F9BB">
      <w:pPr>
        <w:spacing w:line="560" w:lineRule="exact"/>
        <w:ind w:firstLine="643" w:firstLineChars="200"/>
        <w:rPr>
          <w:rFonts w:ascii="仿宋" w:hAnsi="仿宋" w:eastAsia="仿宋"/>
          <w:sz w:val="32"/>
          <w:szCs w:val="32"/>
        </w:rPr>
      </w:pPr>
      <w:r>
        <w:rPr>
          <w:rFonts w:ascii="仿宋" w:hAnsi="仿宋" w:eastAsia="仿宋"/>
          <w:b/>
          <w:bCs/>
          <w:sz w:val="32"/>
          <w:szCs w:val="32"/>
        </w:rPr>
        <w:t>2.</w:t>
      </w:r>
      <w:r>
        <w:rPr>
          <w:rFonts w:hint="eastAsia" w:ascii="楷体" w:hAnsi="楷体" w:eastAsia="楷体" w:cs="宋体"/>
          <w:b/>
          <w:sz w:val="32"/>
          <w:szCs w:val="32"/>
        </w:rPr>
        <w:t>管理效率。</w:t>
      </w:r>
      <w:r>
        <w:rPr>
          <w:rFonts w:hint="eastAsia" w:ascii="仿宋" w:hAnsi="仿宋" w:eastAsia="仿宋" w:cs="宋体"/>
          <w:bCs/>
          <w:sz w:val="32"/>
          <w:szCs w:val="32"/>
        </w:rPr>
        <w:t>管理效率权重30</w:t>
      </w:r>
      <w:r>
        <w:rPr>
          <w:rFonts w:hint="eastAsia" w:ascii="仿宋" w:hAnsi="仿宋" w:eastAsia="仿宋"/>
          <w:sz w:val="32"/>
          <w:szCs w:val="32"/>
        </w:rPr>
        <w:t>分，得分19分。天城镇人民政府财务管理制度健全、规范透明、约束有力；预算资金</w:t>
      </w:r>
      <w:bookmarkStart w:id="5" w:name="_Toc31269"/>
      <w:r>
        <w:rPr>
          <w:rFonts w:hint="eastAsia" w:ascii="仿宋" w:hAnsi="仿宋" w:eastAsia="仿宋"/>
          <w:sz w:val="32"/>
          <w:szCs w:val="32"/>
        </w:rPr>
        <w:t>执行较规范，预决算公开透明；</w:t>
      </w:r>
      <w:r>
        <w:rPr>
          <w:rFonts w:hint="eastAsia" w:ascii="仿宋" w:hAnsi="仿宋" w:eastAsia="仿宋"/>
          <w:bCs/>
          <w:sz w:val="32"/>
          <w:szCs w:val="32"/>
        </w:rPr>
        <w:t>资产管理制度完善，合理配备固定资产，提高固定资产使用效益，保障固定资产的安全和完整。主要扣分点在于：未编制绩效目标及清晰、细化、可衡量的具体绩效考核指标；由于每年的7月份是下一年度预算编制的“一上”时间，11月底是财政的“一下”、各单位、各部门的“二上”时间，实际上部门单位拿到本年度实际批复预算时已经是5月份，这就导致单位已经执行的预算计划与实际批复有出入，影响到预算执行进度；该镇初步形成“注重结果导向、强调成本效益、硬化责任约束”的预算管理机制，但是未安排专门的绩效管理的职能部门负责实施，未能有效落实县里下发的绩效管理实施方案。</w:t>
      </w:r>
    </w:p>
    <w:p w14:paraId="450137D9">
      <w:pPr>
        <w:spacing w:line="560" w:lineRule="exact"/>
        <w:ind w:firstLine="643" w:firstLineChars="200"/>
        <w:rPr>
          <w:rFonts w:ascii="仿宋" w:hAnsi="仿宋" w:eastAsia="仿宋" w:cs="楷体"/>
          <w:color w:val="FF0000"/>
          <w:sz w:val="32"/>
          <w:szCs w:val="32"/>
        </w:rPr>
      </w:pPr>
      <w:r>
        <w:rPr>
          <w:rFonts w:ascii="仿宋" w:hAnsi="仿宋" w:eastAsia="仿宋"/>
          <w:b/>
          <w:bCs/>
          <w:sz w:val="32"/>
          <w:szCs w:val="32"/>
        </w:rPr>
        <w:t>3.</w:t>
      </w:r>
      <w:r>
        <w:rPr>
          <w:rFonts w:hint="eastAsia" w:ascii="楷体" w:hAnsi="楷体" w:eastAsia="楷体"/>
          <w:b/>
          <w:sz w:val="32"/>
          <w:szCs w:val="32"/>
        </w:rPr>
        <w:t>履职效能。</w:t>
      </w:r>
      <w:r>
        <w:rPr>
          <w:rFonts w:hint="eastAsia" w:ascii="仿宋" w:hAnsi="仿宋" w:eastAsia="仿宋"/>
          <w:sz w:val="32"/>
          <w:szCs w:val="32"/>
        </w:rPr>
        <w:t>履职效能权重20分，得分20分。2020年度天城镇以推动经济社会高质量发展为主题，扎实做好“六稳”工作、全面落实“六保”任务，环境整治、疫情防控、乡村振兴、招商引资、社会综合治理等经济社会发展各项任务全面完成</w:t>
      </w:r>
      <w:r>
        <w:rPr>
          <w:rFonts w:hint="eastAsia" w:ascii="仿宋" w:hAnsi="仿宋" w:eastAsia="仿宋" w:cs="楷体"/>
          <w:sz w:val="32"/>
          <w:szCs w:val="32"/>
        </w:rPr>
        <w:t>。</w:t>
      </w:r>
      <w:bookmarkEnd w:id="5"/>
    </w:p>
    <w:p w14:paraId="654EFBEB">
      <w:pPr>
        <w:spacing w:line="560" w:lineRule="exact"/>
        <w:ind w:firstLine="615"/>
        <w:outlineLvl w:val="2"/>
        <w:rPr>
          <w:rFonts w:ascii="仿宋" w:hAnsi="仿宋" w:eastAsia="仿宋" w:cs="仿宋"/>
          <w:sz w:val="32"/>
          <w:szCs w:val="32"/>
        </w:rPr>
      </w:pPr>
      <w:bookmarkStart w:id="6" w:name="_Toc18478"/>
      <w:r>
        <w:rPr>
          <w:rFonts w:ascii="仿宋" w:hAnsi="仿宋" w:eastAsia="仿宋"/>
          <w:b/>
          <w:bCs/>
          <w:sz w:val="32"/>
          <w:szCs w:val="32"/>
        </w:rPr>
        <w:t>4.</w:t>
      </w:r>
      <w:r>
        <w:rPr>
          <w:rFonts w:hint="eastAsia" w:ascii="楷体" w:hAnsi="楷体" w:eastAsia="楷体" w:cs="楷体"/>
          <w:b/>
          <w:bCs/>
          <w:sz w:val="32"/>
          <w:szCs w:val="32"/>
        </w:rPr>
        <w:t>社会效益。</w:t>
      </w:r>
      <w:r>
        <w:rPr>
          <w:rFonts w:hint="eastAsia" w:ascii="仿宋" w:hAnsi="仿宋" w:eastAsia="仿宋" w:cs="宋体"/>
          <w:sz w:val="32"/>
          <w:szCs w:val="32"/>
        </w:rPr>
        <w:t>社会效益权重20分，得分20分。</w:t>
      </w:r>
      <w:bookmarkEnd w:id="6"/>
      <w:r>
        <w:rPr>
          <w:rFonts w:hint="eastAsia" w:ascii="仿宋" w:hAnsi="仿宋" w:eastAsia="仿宋" w:cs="宋体"/>
          <w:sz w:val="32"/>
          <w:szCs w:val="32"/>
        </w:rPr>
        <w:t>天城镇人民政府环境整治效果突出，在9月份全市城市管理工作综合考评中排名靠前</w:t>
      </w:r>
      <w:r>
        <w:rPr>
          <w:rFonts w:hint="eastAsia" w:ascii="仿宋" w:hAnsi="仿宋" w:eastAsia="仿宋" w:cs="仿宋"/>
          <w:sz w:val="32"/>
          <w:szCs w:val="32"/>
        </w:rPr>
        <w:t>。在新冠疫情期间，天城镇人民政府把疫情防控作为最重要的工作，果断采取一系列联防联控、群防群控措施，确保了人民群众生命安全和身体健康。统筹推进疫情防控和经济发展，该镇制定的2020年经济社会发展各项指标均已完成。</w:t>
      </w:r>
    </w:p>
    <w:p w14:paraId="740AF9FC">
      <w:pPr>
        <w:spacing w:line="560" w:lineRule="exact"/>
        <w:ind w:firstLine="615"/>
        <w:outlineLvl w:val="2"/>
        <w:rPr>
          <w:rFonts w:ascii="仿宋" w:hAnsi="仿宋" w:eastAsia="仿宋" w:cs="仿宋"/>
          <w:sz w:val="32"/>
          <w:szCs w:val="32"/>
        </w:rPr>
      </w:pPr>
      <w:r>
        <w:rPr>
          <w:rFonts w:hint="eastAsia" w:ascii="仿宋" w:hAnsi="仿宋" w:eastAsia="仿宋"/>
          <w:b/>
          <w:bCs/>
          <w:sz w:val="32"/>
          <w:szCs w:val="32"/>
        </w:rPr>
        <w:t>5</w:t>
      </w:r>
      <w:r>
        <w:rPr>
          <w:rFonts w:ascii="仿宋" w:hAnsi="仿宋" w:eastAsia="仿宋"/>
          <w:b/>
          <w:bCs/>
          <w:sz w:val="32"/>
          <w:szCs w:val="32"/>
        </w:rPr>
        <w:t>.</w:t>
      </w:r>
      <w:r>
        <w:rPr>
          <w:rFonts w:hint="eastAsia" w:ascii="楷体" w:hAnsi="楷体" w:eastAsia="楷体" w:cs="楷体"/>
          <w:b/>
          <w:bCs/>
          <w:sz w:val="32"/>
          <w:szCs w:val="32"/>
        </w:rPr>
        <w:t>服务对象满意度。</w:t>
      </w:r>
      <w:r>
        <w:rPr>
          <w:rFonts w:hint="eastAsia" w:ascii="仿宋" w:hAnsi="仿宋" w:eastAsia="仿宋" w:cs="宋体"/>
          <w:sz w:val="32"/>
          <w:szCs w:val="32"/>
        </w:rPr>
        <w:t>服务对象满意度权重10分，得分10分。群众和内部干部对镇人民政府部门整体工作均感到满意</w:t>
      </w:r>
      <w:r>
        <w:rPr>
          <w:rFonts w:hint="eastAsia" w:ascii="仿宋" w:hAnsi="仿宋" w:eastAsia="仿宋" w:cs="仿宋"/>
          <w:sz w:val="32"/>
          <w:szCs w:val="32"/>
        </w:rPr>
        <w:t>。</w:t>
      </w:r>
    </w:p>
    <w:p w14:paraId="09678A5E">
      <w:pPr>
        <w:spacing w:line="560" w:lineRule="exact"/>
        <w:ind w:firstLine="640" w:firstLineChars="200"/>
        <w:rPr>
          <w:rFonts w:ascii="楷体" w:hAnsi="楷体" w:eastAsia="楷体" w:cs="宋体"/>
          <w:sz w:val="32"/>
          <w:szCs w:val="32"/>
        </w:rPr>
      </w:pPr>
      <w:r>
        <w:rPr>
          <w:rFonts w:hint="eastAsia" w:ascii="楷体" w:hAnsi="楷体" w:eastAsia="楷体" w:cs="宋体"/>
          <w:sz w:val="32"/>
          <w:szCs w:val="32"/>
        </w:rPr>
        <w:t>（三）存在的问题和原因</w:t>
      </w:r>
    </w:p>
    <w:p w14:paraId="747B7ABA">
      <w:pPr>
        <w:spacing w:line="560" w:lineRule="exact"/>
        <w:ind w:firstLine="636" w:firstLineChars="198"/>
        <w:rPr>
          <w:rFonts w:ascii="仿宋" w:hAnsi="仿宋" w:eastAsia="仿宋" w:cs="宋体"/>
          <w:color w:val="000000"/>
          <w:kern w:val="0"/>
          <w:sz w:val="32"/>
          <w:szCs w:val="32"/>
        </w:rPr>
      </w:pPr>
      <w:r>
        <w:rPr>
          <w:rFonts w:ascii="仿宋" w:hAnsi="仿宋" w:eastAsia="仿宋"/>
          <w:b/>
          <w:bCs/>
          <w:sz w:val="32"/>
          <w:szCs w:val="32"/>
        </w:rPr>
        <w:t>1.</w:t>
      </w:r>
      <w:r>
        <w:rPr>
          <w:rFonts w:hint="eastAsia" w:ascii="楷体" w:hAnsi="楷体" w:eastAsia="楷体" w:cs="仿宋"/>
          <w:b/>
          <w:sz w:val="32"/>
          <w:szCs w:val="32"/>
        </w:rPr>
        <w:t>上年度绩效评价结果应用情况。</w:t>
      </w:r>
      <w:r>
        <w:rPr>
          <w:rFonts w:hint="eastAsia" w:ascii="仿宋" w:hAnsi="仿宋" w:eastAsia="仿宋" w:cs="宋体"/>
          <w:color w:val="000000"/>
          <w:kern w:val="0"/>
          <w:sz w:val="32"/>
          <w:szCs w:val="32"/>
        </w:rPr>
        <w:t>上年度未开展部门整体支出绩效评价工作，暂无评价结果应用情况。</w:t>
      </w:r>
    </w:p>
    <w:p w14:paraId="535D30FD">
      <w:pPr>
        <w:spacing w:line="560" w:lineRule="exact"/>
        <w:ind w:firstLine="636" w:firstLineChars="198"/>
        <w:rPr>
          <w:rFonts w:ascii="楷体" w:hAnsi="楷体" w:eastAsia="楷体" w:cs="仿宋"/>
          <w:b/>
          <w:sz w:val="32"/>
          <w:szCs w:val="32"/>
        </w:rPr>
      </w:pPr>
      <w:r>
        <w:rPr>
          <w:rFonts w:ascii="仿宋" w:hAnsi="仿宋" w:eastAsia="仿宋"/>
          <w:b/>
          <w:bCs/>
          <w:sz w:val="32"/>
          <w:szCs w:val="32"/>
        </w:rPr>
        <w:t>2.</w:t>
      </w:r>
      <w:r>
        <w:rPr>
          <w:rFonts w:hint="eastAsia" w:ascii="楷体" w:hAnsi="楷体" w:eastAsia="楷体" w:cs="仿宋"/>
          <w:b/>
          <w:sz w:val="32"/>
          <w:szCs w:val="32"/>
        </w:rPr>
        <w:t>本年度绩效管理中存在的问题和原因</w:t>
      </w:r>
    </w:p>
    <w:p w14:paraId="175D663E">
      <w:pPr>
        <w:spacing w:line="560" w:lineRule="exact"/>
        <w:ind w:firstLine="643" w:firstLineChars="200"/>
        <w:rPr>
          <w:rFonts w:ascii="仿宋" w:hAnsi="仿宋" w:eastAsia="仿宋"/>
          <w:b/>
          <w:sz w:val="32"/>
          <w:szCs w:val="32"/>
        </w:rPr>
      </w:pPr>
      <w:r>
        <w:rPr>
          <w:rFonts w:hint="eastAsia" w:ascii="仿宋" w:hAnsi="仿宋" w:eastAsia="仿宋"/>
          <w:b/>
          <w:color w:val="000000"/>
          <w:sz w:val="32"/>
          <w:szCs w:val="32"/>
        </w:rPr>
        <w:t>（1）工作机制有待进一步完善。</w:t>
      </w:r>
      <w:r>
        <w:rPr>
          <w:rFonts w:hint="eastAsia" w:ascii="仿宋" w:hAnsi="仿宋" w:eastAsia="仿宋" w:cs="宋体"/>
          <w:color w:val="000000"/>
          <w:kern w:val="0"/>
          <w:sz w:val="32"/>
          <w:szCs w:val="32"/>
        </w:rPr>
        <w:t>根据座谈及相关资料了解到，该</w:t>
      </w:r>
      <w:r>
        <w:rPr>
          <w:rFonts w:hint="eastAsia" w:ascii="仿宋" w:hAnsi="仿宋" w:eastAsia="仿宋" w:cs="宋体"/>
          <w:kern w:val="0"/>
          <w:sz w:val="32"/>
          <w:szCs w:val="32"/>
        </w:rPr>
        <w:t>镇绩效评价存在部门之间衔接不畅，绩效监控工作相对滞后，未能及时监控预算绩效目标实施情况。</w:t>
      </w:r>
    </w:p>
    <w:p w14:paraId="14FD5139">
      <w:pPr>
        <w:spacing w:line="560" w:lineRule="exact"/>
        <w:ind w:firstLine="643" w:firstLineChars="200"/>
        <w:rPr>
          <w:rFonts w:ascii="仿宋" w:hAnsi="仿宋" w:eastAsia="仿宋" w:cs="宋体"/>
          <w:sz w:val="32"/>
          <w:szCs w:val="32"/>
        </w:rPr>
      </w:pPr>
      <w:r>
        <w:rPr>
          <w:rFonts w:hint="eastAsia" w:ascii="仿宋" w:hAnsi="仿宋" w:eastAsia="仿宋"/>
          <w:b/>
          <w:sz w:val="32"/>
          <w:szCs w:val="32"/>
        </w:rPr>
        <w:t>（</w:t>
      </w:r>
      <w:r>
        <w:rPr>
          <w:rFonts w:ascii="仿宋" w:hAnsi="仿宋" w:eastAsia="仿宋"/>
          <w:b/>
          <w:sz w:val="32"/>
          <w:szCs w:val="32"/>
        </w:rPr>
        <w:t>2</w:t>
      </w:r>
      <w:r>
        <w:rPr>
          <w:rFonts w:hint="eastAsia" w:ascii="仿宋" w:hAnsi="仿宋" w:eastAsia="仿宋"/>
          <w:b/>
          <w:sz w:val="32"/>
          <w:szCs w:val="32"/>
        </w:rPr>
        <w:t>）预算编制仍需进一步精确细化。</w:t>
      </w:r>
      <w:bookmarkStart w:id="7" w:name="_Toc2260"/>
      <w:r>
        <w:rPr>
          <w:rFonts w:hint="eastAsia" w:ascii="仿宋" w:hAnsi="仿宋" w:eastAsia="仿宋"/>
          <w:bCs/>
          <w:sz w:val="32"/>
          <w:szCs w:val="32"/>
        </w:rPr>
        <w:t>该镇部门预算编制不够准确, 预算调整比例过大，基本支出预算编制与实际使用差距较大,部门预算的编制和执行不严谨</w:t>
      </w:r>
      <w:r>
        <w:rPr>
          <w:rFonts w:hint="eastAsia" w:ascii="仿宋" w:hAnsi="仿宋" w:eastAsia="仿宋" w:cs="宋体"/>
          <w:sz w:val="32"/>
          <w:szCs w:val="32"/>
        </w:rPr>
        <w:t>。</w:t>
      </w:r>
      <w:bookmarkEnd w:id="7"/>
    </w:p>
    <w:p w14:paraId="23609612">
      <w:pPr>
        <w:spacing w:line="560" w:lineRule="exact"/>
        <w:ind w:firstLine="643" w:firstLineChars="200"/>
        <w:rPr>
          <w:rFonts w:ascii="仿宋" w:hAnsi="仿宋" w:eastAsia="仿宋" w:cs="宋体"/>
          <w:sz w:val="32"/>
          <w:szCs w:val="32"/>
        </w:rPr>
      </w:pPr>
      <w:r>
        <w:rPr>
          <w:rFonts w:hint="eastAsia" w:ascii="仿宋" w:hAnsi="仿宋" w:eastAsia="仿宋"/>
          <w:b/>
          <w:sz w:val="32"/>
          <w:szCs w:val="32"/>
        </w:rPr>
        <w:t>（</w:t>
      </w:r>
      <w:r>
        <w:rPr>
          <w:rFonts w:ascii="仿宋" w:hAnsi="仿宋" w:eastAsia="仿宋"/>
          <w:b/>
          <w:sz w:val="32"/>
          <w:szCs w:val="32"/>
        </w:rPr>
        <w:t>3</w:t>
      </w:r>
      <w:r>
        <w:rPr>
          <w:rFonts w:hint="eastAsia" w:ascii="仿宋" w:hAnsi="仿宋" w:eastAsia="仿宋"/>
          <w:b/>
          <w:sz w:val="32"/>
          <w:szCs w:val="32"/>
        </w:rPr>
        <w:t>）预算执行率较低。</w:t>
      </w:r>
      <w:r>
        <w:rPr>
          <w:rFonts w:hint="eastAsia" w:ascii="仿宋" w:hAnsi="仿宋" w:eastAsia="仿宋"/>
          <w:bCs/>
          <w:sz w:val="32"/>
          <w:szCs w:val="32"/>
        </w:rPr>
        <w:t>目前该镇仍有年末结余情况，资金未及时拨付使用，执行率不高</w:t>
      </w:r>
      <w:r>
        <w:rPr>
          <w:rFonts w:hint="eastAsia" w:ascii="仿宋" w:hAnsi="仿宋" w:eastAsia="仿宋" w:cs="宋体"/>
          <w:sz w:val="32"/>
          <w:szCs w:val="32"/>
        </w:rPr>
        <w:t>。</w:t>
      </w:r>
    </w:p>
    <w:p w14:paraId="29362BB2">
      <w:pPr>
        <w:spacing w:line="560" w:lineRule="exact"/>
        <w:ind w:firstLine="640" w:firstLineChars="200"/>
        <w:rPr>
          <w:rFonts w:ascii="楷体" w:hAnsi="楷体" w:eastAsia="楷体" w:cs="宋体"/>
          <w:sz w:val="32"/>
          <w:szCs w:val="32"/>
        </w:rPr>
      </w:pPr>
      <w:r>
        <w:rPr>
          <w:rFonts w:hint="eastAsia" w:ascii="楷体" w:hAnsi="楷体" w:eastAsia="楷体" w:cs="宋体"/>
          <w:sz w:val="32"/>
          <w:szCs w:val="32"/>
        </w:rPr>
        <w:t>（四）结果应用建议</w:t>
      </w:r>
    </w:p>
    <w:p w14:paraId="2C776449">
      <w:pPr>
        <w:spacing w:line="560" w:lineRule="exact"/>
        <w:ind w:firstLine="643" w:firstLineChars="200"/>
        <w:rPr>
          <w:rFonts w:ascii="仿宋" w:hAnsi="仿宋" w:eastAsia="仿宋"/>
          <w:sz w:val="32"/>
          <w:szCs w:val="32"/>
        </w:rPr>
      </w:pPr>
      <w:r>
        <w:rPr>
          <w:rFonts w:hint="eastAsia" w:ascii="仿宋" w:hAnsi="仿宋" w:eastAsia="仿宋"/>
          <w:b/>
          <w:color w:val="000000"/>
          <w:sz w:val="32"/>
          <w:szCs w:val="32"/>
        </w:rPr>
        <w:t>1．建立绩效评价协调机制。</w:t>
      </w:r>
      <w:r>
        <w:rPr>
          <w:rFonts w:hint="eastAsia" w:ascii="仿宋" w:hAnsi="仿宋" w:eastAsia="仿宋"/>
          <w:bCs/>
          <w:sz w:val="32"/>
          <w:szCs w:val="32"/>
        </w:rPr>
        <w:t>进一步提升对绩效评价工作的认识，建立绩效目标监控机制，科学设置预算绩效指标，明确各部门之间的职责,加强各部门之间工作衔接,定期对预算执行情况进行监督，</w:t>
      </w:r>
      <w:r>
        <w:rPr>
          <w:rFonts w:hint="eastAsia" w:ascii="仿宋" w:hAnsi="仿宋" w:eastAsia="仿宋"/>
          <w:sz w:val="32"/>
          <w:szCs w:val="32"/>
        </w:rPr>
        <w:t>使预算绩效目标实施进度得到及时反馈，便于及时汇总监控。</w:t>
      </w:r>
    </w:p>
    <w:p w14:paraId="3DAC4EA0">
      <w:pPr>
        <w:spacing w:line="560" w:lineRule="exact"/>
        <w:ind w:firstLine="643" w:firstLineChars="200"/>
        <w:rPr>
          <w:rFonts w:ascii="仿宋" w:hAnsi="仿宋" w:eastAsia="仿宋"/>
          <w:bCs/>
          <w:sz w:val="32"/>
          <w:szCs w:val="32"/>
        </w:rPr>
      </w:pPr>
      <w:r>
        <w:rPr>
          <w:rFonts w:ascii="仿宋" w:hAnsi="仿宋" w:eastAsia="仿宋"/>
          <w:b/>
          <w:color w:val="000000"/>
          <w:sz w:val="32"/>
          <w:szCs w:val="32"/>
        </w:rPr>
        <w:t>2</w:t>
      </w:r>
      <w:r>
        <w:rPr>
          <w:rFonts w:hint="eastAsia" w:ascii="仿宋" w:hAnsi="仿宋" w:eastAsia="仿宋"/>
          <w:b/>
          <w:color w:val="000000"/>
          <w:sz w:val="32"/>
          <w:szCs w:val="32"/>
        </w:rPr>
        <w:t>．严格编制</w:t>
      </w:r>
      <w:r>
        <w:rPr>
          <w:rFonts w:hint="eastAsia" w:ascii="仿宋" w:hAnsi="仿宋" w:eastAsia="仿宋"/>
          <w:b/>
          <w:sz w:val="32"/>
          <w:szCs w:val="32"/>
        </w:rPr>
        <w:t>部门预算。</w:t>
      </w:r>
      <w:r>
        <w:rPr>
          <w:rFonts w:hint="eastAsia" w:ascii="仿宋" w:hAnsi="仿宋" w:eastAsia="仿宋"/>
          <w:sz w:val="32"/>
          <w:szCs w:val="32"/>
        </w:rPr>
        <w:t>严格执行预算编制原则,按定额和标准编制部门预算, 扭转预算编制时的主观性、随意性现状,使预算资金安排与乡镇机构职能相适应，财政支出与实现绩效目标的相匹配，为乡镇经济社会发展，保障和改善民提供财力支撑</w:t>
      </w:r>
      <w:r>
        <w:rPr>
          <w:rFonts w:hint="eastAsia" w:ascii="仿宋" w:hAnsi="仿宋" w:eastAsia="仿宋"/>
          <w:bCs/>
          <w:sz w:val="32"/>
          <w:szCs w:val="32"/>
        </w:rPr>
        <w:t>。</w:t>
      </w:r>
    </w:p>
    <w:p w14:paraId="15240CE5">
      <w:pPr>
        <w:spacing w:line="560" w:lineRule="exact"/>
        <w:ind w:firstLine="643" w:firstLineChars="200"/>
        <w:rPr>
          <w:rFonts w:ascii="仿宋" w:hAnsi="仿宋" w:eastAsia="仿宋"/>
          <w:bCs/>
          <w:color w:val="C00000"/>
          <w:sz w:val="32"/>
          <w:szCs w:val="32"/>
        </w:rPr>
      </w:pPr>
      <w:r>
        <w:rPr>
          <w:rFonts w:hint="eastAsia" w:ascii="仿宋" w:hAnsi="仿宋" w:eastAsia="仿宋"/>
          <w:b/>
          <w:color w:val="000000"/>
          <w:sz w:val="32"/>
          <w:szCs w:val="32"/>
        </w:rPr>
        <w:t>3．</w:t>
      </w:r>
      <w:r>
        <w:rPr>
          <w:rFonts w:hint="eastAsia" w:ascii="仿宋" w:hAnsi="仿宋" w:eastAsia="仿宋"/>
          <w:b/>
          <w:sz w:val="32"/>
          <w:szCs w:val="32"/>
        </w:rPr>
        <w:t>加强预算执行力度，以减少沉淀资金。</w:t>
      </w:r>
      <w:r>
        <w:rPr>
          <w:rFonts w:hint="eastAsia" w:ascii="仿宋" w:hAnsi="仿宋" w:eastAsia="仿宋"/>
          <w:sz w:val="32"/>
          <w:szCs w:val="32"/>
        </w:rPr>
        <w:t>高度重视预算执行，依据均衡支出及平衡预算的要求，加快资金拨付和兑付，下大力气提高预算执行进度，确保支出及时有效均衡</w:t>
      </w:r>
      <w:r>
        <w:rPr>
          <w:rFonts w:hint="eastAsia" w:ascii="仿宋" w:hAnsi="仿宋" w:eastAsia="仿宋"/>
          <w:bCs/>
          <w:sz w:val="32"/>
          <w:szCs w:val="32"/>
        </w:rPr>
        <w:t>。</w:t>
      </w:r>
    </w:p>
    <w:p w14:paraId="2D3236F4">
      <w:pPr>
        <w:spacing w:line="560" w:lineRule="exact"/>
        <w:ind w:firstLine="640" w:firstLineChars="200"/>
        <w:outlineLvl w:val="0"/>
        <w:rPr>
          <w:rFonts w:ascii="仿宋" w:hAnsi="仿宋" w:eastAsia="仿宋"/>
          <w:color w:val="000000"/>
          <w:sz w:val="32"/>
          <w:szCs w:val="32"/>
        </w:rPr>
      </w:pPr>
      <w:bookmarkStart w:id="8" w:name="_Toc20289"/>
    </w:p>
    <w:p w14:paraId="2F8A37B6">
      <w:pPr>
        <w:spacing w:line="560" w:lineRule="exact"/>
        <w:ind w:firstLine="640" w:firstLineChars="200"/>
        <w:outlineLvl w:val="0"/>
        <w:rPr>
          <w:rFonts w:ascii="仿宋" w:hAnsi="仿宋" w:eastAsia="仿宋"/>
          <w:color w:val="000000"/>
          <w:sz w:val="32"/>
          <w:szCs w:val="32"/>
        </w:rPr>
      </w:pPr>
    </w:p>
    <w:p w14:paraId="5F40E44E">
      <w:pPr>
        <w:spacing w:line="560" w:lineRule="exact"/>
        <w:ind w:firstLine="640" w:firstLineChars="200"/>
        <w:outlineLvl w:val="0"/>
        <w:rPr>
          <w:rFonts w:ascii="仿宋" w:hAnsi="仿宋" w:eastAsia="仿宋"/>
          <w:color w:val="000000"/>
          <w:sz w:val="32"/>
          <w:szCs w:val="32"/>
        </w:rPr>
      </w:pPr>
    </w:p>
    <w:p w14:paraId="5B48FFB2">
      <w:pPr>
        <w:spacing w:line="560" w:lineRule="exact"/>
        <w:ind w:firstLine="640" w:firstLineChars="200"/>
        <w:outlineLvl w:val="0"/>
        <w:rPr>
          <w:rFonts w:ascii="华文中宋" w:hAnsi="华文中宋" w:eastAsia="华文中宋" w:cs="楷体"/>
          <w:bCs/>
          <w:sz w:val="32"/>
          <w:szCs w:val="32"/>
        </w:rPr>
      </w:pPr>
      <w:r>
        <w:rPr>
          <w:rFonts w:hint="eastAsia" w:ascii="华文中宋" w:hAnsi="华文中宋" w:eastAsia="华文中宋" w:cs="楷体"/>
          <w:bCs/>
          <w:sz w:val="32"/>
          <w:szCs w:val="32"/>
        </w:rPr>
        <w:t xml:space="preserve">湖北恒信会计师事务有限公司     </w:t>
      </w:r>
      <w:r>
        <w:rPr>
          <w:rFonts w:ascii="华文中宋" w:hAnsi="华文中宋" w:eastAsia="华文中宋" w:cs="楷体"/>
          <w:bCs/>
          <w:sz w:val="32"/>
          <w:szCs w:val="32"/>
        </w:rPr>
        <w:t xml:space="preserve"> </w:t>
      </w:r>
      <w:r>
        <w:rPr>
          <w:rFonts w:hint="eastAsia" w:ascii="华文中宋" w:hAnsi="华文中宋" w:eastAsia="华文中宋" w:cs="楷体"/>
          <w:bCs/>
          <w:sz w:val="32"/>
          <w:szCs w:val="32"/>
        </w:rPr>
        <w:t>主评人：</w:t>
      </w:r>
      <w:bookmarkEnd w:id="8"/>
    </w:p>
    <w:p w14:paraId="36EC7ACB">
      <w:pPr>
        <w:spacing w:line="560" w:lineRule="exact"/>
        <w:rPr>
          <w:rFonts w:ascii="华文中宋" w:hAnsi="华文中宋" w:eastAsia="华文中宋" w:cs="楷体"/>
          <w:bCs/>
          <w:sz w:val="32"/>
          <w:szCs w:val="32"/>
        </w:rPr>
      </w:pPr>
    </w:p>
    <w:p w14:paraId="204C30EB">
      <w:pPr>
        <w:spacing w:line="560" w:lineRule="exact"/>
        <w:ind w:firstLine="1920" w:firstLineChars="600"/>
        <w:outlineLvl w:val="0"/>
        <w:rPr>
          <w:rFonts w:ascii="华文中宋" w:hAnsi="华文中宋" w:eastAsia="华文中宋" w:cs="楷体"/>
          <w:bCs/>
          <w:sz w:val="32"/>
          <w:szCs w:val="32"/>
        </w:rPr>
      </w:pPr>
      <w:bookmarkStart w:id="9" w:name="_Toc18715"/>
      <w:r>
        <w:rPr>
          <w:rFonts w:hint="eastAsia" w:ascii="华文中宋" w:hAnsi="华文中宋" w:eastAsia="华文中宋" w:cs="楷体"/>
          <w:bCs/>
          <w:sz w:val="32"/>
          <w:szCs w:val="32"/>
        </w:rPr>
        <w:t xml:space="preserve">中国·武汉            </w:t>
      </w:r>
      <w:r>
        <w:rPr>
          <w:rFonts w:ascii="华文中宋" w:hAnsi="华文中宋" w:eastAsia="华文中宋" w:cs="楷体"/>
          <w:bCs/>
          <w:sz w:val="32"/>
          <w:szCs w:val="32"/>
        </w:rPr>
        <w:t xml:space="preserve"> </w:t>
      </w:r>
      <w:r>
        <w:rPr>
          <w:rFonts w:hint="eastAsia" w:ascii="华文中宋" w:hAnsi="华文中宋" w:eastAsia="华文中宋" w:cs="楷体"/>
          <w:bCs/>
          <w:sz w:val="32"/>
          <w:szCs w:val="32"/>
        </w:rPr>
        <w:t xml:space="preserve"> 主评人：</w:t>
      </w:r>
      <w:bookmarkEnd w:id="9"/>
    </w:p>
    <w:p w14:paraId="723DFD29">
      <w:pPr>
        <w:spacing w:line="560" w:lineRule="exact"/>
        <w:rPr>
          <w:rFonts w:ascii="华文中宋" w:hAnsi="华文中宋" w:eastAsia="华文中宋" w:cs="楷体"/>
          <w:bCs/>
          <w:sz w:val="32"/>
          <w:szCs w:val="32"/>
        </w:rPr>
      </w:pPr>
    </w:p>
    <w:p w14:paraId="1DEF9C8A">
      <w:pPr>
        <w:spacing w:line="560" w:lineRule="exact"/>
        <w:outlineLvl w:val="0"/>
        <w:rPr>
          <w:rFonts w:ascii="华文中宋" w:hAnsi="华文中宋" w:eastAsia="华文中宋" w:cs="楷体"/>
          <w:bCs/>
          <w:sz w:val="32"/>
          <w:szCs w:val="32"/>
        </w:rPr>
        <w:sectPr>
          <w:footerReference r:id="rId10" w:type="default"/>
          <w:pgSz w:w="11906" w:h="16838"/>
          <w:pgMar w:top="2098" w:right="1474" w:bottom="1984" w:left="1587" w:header="851" w:footer="992" w:gutter="0"/>
          <w:pgNumType w:start="1"/>
          <w:cols w:space="0" w:num="1"/>
          <w:docGrid w:type="lines" w:linePitch="312" w:charSpace="0"/>
        </w:sectPr>
      </w:pPr>
      <w:r>
        <w:rPr>
          <w:rFonts w:hint="eastAsia" w:ascii="华文中宋" w:hAnsi="华文中宋" w:eastAsia="华文中宋" w:cs="楷体"/>
          <w:bCs/>
          <w:sz w:val="32"/>
          <w:szCs w:val="32"/>
        </w:rPr>
        <w:t xml:space="preserve">                             </w:t>
      </w:r>
      <w:r>
        <w:rPr>
          <w:rFonts w:ascii="华文中宋" w:hAnsi="华文中宋" w:eastAsia="华文中宋" w:cs="楷体"/>
          <w:bCs/>
          <w:sz w:val="32"/>
          <w:szCs w:val="32"/>
        </w:rPr>
        <w:t xml:space="preserve">  </w:t>
      </w:r>
      <w:r>
        <w:rPr>
          <w:rFonts w:hint="eastAsia" w:ascii="华文中宋" w:hAnsi="华文中宋" w:eastAsia="华文中宋" w:cs="楷体"/>
          <w:bCs/>
          <w:sz w:val="32"/>
          <w:szCs w:val="32"/>
        </w:rPr>
        <w:t xml:space="preserve"> </w:t>
      </w:r>
      <w:bookmarkStart w:id="10" w:name="_Toc21224"/>
      <w:r>
        <w:rPr>
          <w:rFonts w:hint="eastAsia" w:ascii="华文中宋" w:hAnsi="华文中宋" w:eastAsia="华文中宋" w:cs="楷体"/>
          <w:bCs/>
          <w:sz w:val="32"/>
          <w:szCs w:val="32"/>
        </w:rPr>
        <w:t>20</w:t>
      </w:r>
      <w:r>
        <w:rPr>
          <w:rFonts w:ascii="华文中宋" w:hAnsi="华文中宋" w:eastAsia="华文中宋" w:cs="楷体"/>
          <w:bCs/>
          <w:sz w:val="32"/>
          <w:szCs w:val="32"/>
        </w:rPr>
        <w:t>21</w:t>
      </w:r>
      <w:r>
        <w:rPr>
          <w:rFonts w:hint="eastAsia" w:ascii="华文中宋" w:hAnsi="华文中宋" w:eastAsia="华文中宋" w:cs="楷体"/>
          <w:bCs/>
          <w:sz w:val="32"/>
          <w:szCs w:val="32"/>
        </w:rPr>
        <w:t>年9月8日</w:t>
      </w:r>
      <w:bookmarkEnd w:id="10"/>
    </w:p>
    <w:p w14:paraId="681FCA0C">
      <w:pPr>
        <w:spacing w:line="560" w:lineRule="exact"/>
        <w:outlineLvl w:val="0"/>
        <w:rPr>
          <w:rFonts w:ascii="黑体" w:hAnsi="黑体" w:eastAsia="黑体" w:cs="楷体"/>
          <w:sz w:val="32"/>
          <w:szCs w:val="32"/>
        </w:rPr>
      </w:pPr>
      <w:bookmarkStart w:id="11" w:name="_Toc10851"/>
      <w:r>
        <w:rPr>
          <w:rFonts w:hint="eastAsia" w:ascii="黑体" w:hAnsi="黑体" w:eastAsia="黑体" w:cs="楷体"/>
          <w:bCs/>
          <w:sz w:val="32"/>
          <w:szCs w:val="32"/>
        </w:rPr>
        <w:t>2.  佐证材料</w:t>
      </w:r>
      <w:bookmarkEnd w:id="11"/>
      <w:bookmarkStart w:id="12" w:name="_Toc13335"/>
    </w:p>
    <w:p w14:paraId="4C545E90">
      <w:pPr>
        <w:spacing w:line="560" w:lineRule="exact"/>
        <w:ind w:firstLine="480" w:firstLineChars="150"/>
        <w:outlineLvl w:val="0"/>
        <w:rPr>
          <w:rFonts w:ascii="黑体" w:hAnsi="黑体" w:eastAsia="黑体" w:cs="楷体"/>
          <w:sz w:val="32"/>
          <w:szCs w:val="32"/>
        </w:rPr>
      </w:pPr>
      <w:bookmarkStart w:id="13" w:name="_Toc29819"/>
      <w:r>
        <w:rPr>
          <w:rFonts w:hint="eastAsia" w:ascii="黑体" w:hAnsi="黑体" w:eastAsia="黑体" w:cs="楷体"/>
          <w:sz w:val="32"/>
          <w:szCs w:val="32"/>
        </w:rPr>
        <w:t>2.1  基本情况</w:t>
      </w:r>
      <w:bookmarkEnd w:id="12"/>
      <w:bookmarkEnd w:id="13"/>
    </w:p>
    <w:p w14:paraId="471A38D2">
      <w:pPr>
        <w:spacing w:line="560" w:lineRule="exact"/>
        <w:ind w:firstLine="562"/>
        <w:outlineLvl w:val="3"/>
        <w:rPr>
          <w:rFonts w:ascii="楷体" w:hAnsi="楷体" w:eastAsia="楷体" w:cs="楷体"/>
          <w:b/>
          <w:sz w:val="32"/>
          <w:szCs w:val="32"/>
        </w:rPr>
      </w:pPr>
      <w:bookmarkStart w:id="14" w:name="_Toc3038"/>
      <w:r>
        <w:rPr>
          <w:rFonts w:hint="eastAsia" w:ascii="楷体" w:hAnsi="楷体" w:eastAsia="楷体" w:cs="楷体"/>
          <w:b/>
          <w:sz w:val="32"/>
          <w:szCs w:val="32"/>
        </w:rPr>
        <w:t xml:space="preserve">2.1.1 </w:t>
      </w:r>
      <w:bookmarkEnd w:id="14"/>
      <w:r>
        <w:rPr>
          <w:rFonts w:hint="eastAsia" w:ascii="楷体" w:hAnsi="楷体" w:eastAsia="楷体" w:cs="楷体"/>
          <w:b/>
          <w:sz w:val="32"/>
          <w:szCs w:val="32"/>
        </w:rPr>
        <w:t>部门基本情况</w:t>
      </w:r>
    </w:p>
    <w:p w14:paraId="3102FCA1">
      <w:pPr>
        <w:spacing w:line="560" w:lineRule="exact"/>
        <w:ind w:firstLine="627" w:firstLineChars="196"/>
        <w:outlineLvl w:val="2"/>
        <w:rPr>
          <w:rFonts w:ascii="仿宋" w:hAnsi="仿宋" w:eastAsia="仿宋"/>
          <w:sz w:val="32"/>
          <w:szCs w:val="32"/>
        </w:rPr>
      </w:pPr>
      <w:r>
        <w:rPr>
          <w:rFonts w:hint="eastAsia" w:ascii="仿宋" w:hAnsi="仿宋" w:eastAsia="仿宋" w:cs="宋体"/>
          <w:sz w:val="32"/>
          <w:szCs w:val="32"/>
        </w:rPr>
        <w:t>a）</w:t>
      </w:r>
      <w:r>
        <w:rPr>
          <w:rFonts w:hint="eastAsia" w:ascii="仿宋" w:hAnsi="仿宋" w:eastAsia="仿宋"/>
          <w:sz w:val="32"/>
          <w:szCs w:val="32"/>
        </w:rPr>
        <w:t>崇阳县天城镇人民政府为独立核算的行政单位，属一级预算单位。</w:t>
      </w:r>
    </w:p>
    <w:p w14:paraId="531BC00D">
      <w:pPr>
        <w:spacing w:line="560" w:lineRule="exact"/>
        <w:ind w:firstLine="640" w:firstLineChars="200"/>
        <w:rPr>
          <w:rFonts w:ascii="仿宋" w:hAnsi="仿宋" w:eastAsia="仿宋"/>
          <w:sz w:val="32"/>
          <w:szCs w:val="32"/>
        </w:rPr>
      </w:pPr>
      <w:r>
        <w:rPr>
          <w:rFonts w:hint="eastAsia" w:ascii="仿宋" w:hAnsi="仿宋" w:eastAsia="仿宋" w:cs="宋体"/>
          <w:sz w:val="32"/>
          <w:szCs w:val="32"/>
        </w:rPr>
        <w:t>b）</w:t>
      </w:r>
      <w:r>
        <w:rPr>
          <w:rFonts w:hint="eastAsia" w:ascii="仿宋" w:hAnsi="仿宋" w:eastAsia="仿宋"/>
          <w:sz w:val="32"/>
          <w:szCs w:val="32"/>
        </w:rPr>
        <w:t>内设机构3个:</w:t>
      </w:r>
      <w:r>
        <w:rPr>
          <w:rFonts w:hint="eastAsia"/>
        </w:rPr>
        <w:t xml:space="preserve"> </w:t>
      </w:r>
      <w:r>
        <w:rPr>
          <w:rFonts w:hint="eastAsia" w:ascii="仿宋" w:hAnsi="仿宋" w:eastAsia="仿宋"/>
          <w:sz w:val="32"/>
          <w:szCs w:val="32"/>
        </w:rPr>
        <w:t>天城镇人民政府设有党政综合办公室、社会事务办公室、经济发展办公室。</w:t>
      </w:r>
    </w:p>
    <w:p w14:paraId="3C8251B6">
      <w:pPr>
        <w:spacing w:line="560" w:lineRule="exact"/>
        <w:ind w:firstLine="627" w:firstLineChars="196"/>
        <w:outlineLvl w:val="2"/>
        <w:rPr>
          <w:rFonts w:ascii="仿宋" w:hAnsi="仿宋" w:eastAsia="仿宋"/>
          <w:sz w:val="32"/>
          <w:szCs w:val="32"/>
        </w:rPr>
      </w:pPr>
      <w:r>
        <w:rPr>
          <w:rFonts w:ascii="仿宋" w:hAnsi="仿宋" w:eastAsia="仿宋" w:cs="宋体"/>
          <w:sz w:val="32"/>
          <w:szCs w:val="32"/>
        </w:rPr>
        <w:t>c</w:t>
      </w:r>
      <w:r>
        <w:rPr>
          <w:rFonts w:hint="eastAsia" w:ascii="仿宋" w:hAnsi="仿宋" w:eastAsia="仿宋" w:cs="宋体"/>
          <w:sz w:val="32"/>
          <w:szCs w:val="32"/>
        </w:rPr>
        <w:t>）</w:t>
      </w:r>
      <w:r>
        <w:rPr>
          <w:rFonts w:hint="eastAsia" w:ascii="仿宋" w:hAnsi="仿宋" w:eastAsia="仿宋"/>
          <w:sz w:val="32"/>
          <w:szCs w:val="32"/>
        </w:rPr>
        <w:t>部门职责</w:t>
      </w:r>
    </w:p>
    <w:p w14:paraId="18348015">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①改善经济发展环境，稳定农村基本经营制度，维护农民的主体地位和权益;开展农村扶贫和社会救助等工作，组织农村基础设施建设，培育发展农民合作组织，完善农业社会化服务体系。</w:t>
      </w:r>
    </w:p>
    <w:p w14:paraId="006A1A95">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②为农民提供科学技术、市场信息、劳动就业等方面的服务，发展农村公益事业，做好养老、医疗等社会保障工作。</w:t>
      </w:r>
      <w:r>
        <w:rPr>
          <w:rFonts w:ascii="仿宋" w:hAnsi="仿宋" w:eastAsia="仿宋"/>
          <w:sz w:val="32"/>
          <w:szCs w:val="32"/>
        </w:rPr>
        <w:t> </w:t>
      </w:r>
    </w:p>
    <w:p w14:paraId="506D1980">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③加强镇村财政收支管理，执行国家财经纪律，完成国家财政收入任务，做好统计物价工作。</w:t>
      </w:r>
      <w:r>
        <w:rPr>
          <w:rFonts w:ascii="仿宋" w:hAnsi="仿宋" w:eastAsia="仿宋"/>
          <w:sz w:val="32"/>
          <w:szCs w:val="32"/>
        </w:rPr>
        <w:t> </w:t>
      </w:r>
    </w:p>
    <w:p w14:paraId="14C1A696">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④加强公共服务和社会管理。</w:t>
      </w:r>
    </w:p>
    <w:p w14:paraId="38067A75">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⑤推进农村平安创建，强化农村社会治安综合治理，化解各种社会矛盾，维护社会稳定。</w:t>
      </w:r>
    </w:p>
    <w:p w14:paraId="128DBF8F">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⑥协助设置在本区域的国家机关和企事业单位工作。</w:t>
      </w:r>
    </w:p>
    <w:p w14:paraId="7173BD2C">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⑦受县相关部门依法交办、委托、承担区域内的行政审批事项。</w:t>
      </w:r>
    </w:p>
    <w:p w14:paraId="7D8BCE81">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⑧承办县委、县政府交办的其他事项。</w:t>
      </w:r>
    </w:p>
    <w:p w14:paraId="4BD097F8">
      <w:pPr>
        <w:spacing w:line="560" w:lineRule="exact"/>
        <w:ind w:firstLine="630" w:firstLineChars="196"/>
        <w:outlineLvl w:val="2"/>
        <w:rPr>
          <w:rFonts w:ascii="楷体" w:hAnsi="楷体" w:eastAsia="楷体" w:cs="楷体"/>
          <w:b/>
          <w:sz w:val="32"/>
          <w:szCs w:val="32"/>
        </w:rPr>
      </w:pPr>
      <w:bookmarkStart w:id="15" w:name="_Toc22279"/>
      <w:bookmarkStart w:id="16" w:name="_Toc11841"/>
      <w:r>
        <w:rPr>
          <w:rFonts w:hint="eastAsia" w:ascii="楷体" w:hAnsi="楷体" w:eastAsia="楷体" w:cs="楷体"/>
          <w:b/>
          <w:sz w:val="32"/>
          <w:szCs w:val="32"/>
        </w:rPr>
        <w:t xml:space="preserve">2.1.2 </w:t>
      </w:r>
      <w:bookmarkEnd w:id="15"/>
      <w:r>
        <w:rPr>
          <w:rFonts w:hint="eastAsia" w:ascii="楷体" w:hAnsi="楷体" w:eastAsia="楷体" w:cs="楷体"/>
          <w:b/>
          <w:sz w:val="32"/>
          <w:szCs w:val="32"/>
        </w:rPr>
        <w:t>部门整体支出预算绩效目标</w:t>
      </w:r>
    </w:p>
    <w:p w14:paraId="6F292583">
      <w:pPr>
        <w:spacing w:line="560" w:lineRule="exact"/>
        <w:ind w:firstLine="627" w:firstLineChars="196"/>
        <w:outlineLvl w:val="2"/>
        <w:rPr>
          <w:rFonts w:ascii="仿宋" w:hAnsi="仿宋" w:eastAsia="仿宋" w:cs="楷体"/>
          <w:sz w:val="32"/>
          <w:szCs w:val="32"/>
        </w:rPr>
      </w:pPr>
      <w:r>
        <w:rPr>
          <w:rFonts w:hint="eastAsia" w:ascii="仿宋_GB2312" w:eastAsia="仿宋_GB2312" w:cs="仿宋_GB2312"/>
          <w:sz w:val="32"/>
          <w:szCs w:val="32"/>
        </w:rPr>
        <w:t>2020年是全面建成小康社会和“十三五”规划的收官之年，该镇围绕打造“富裕、秀美、文明、和谐”新天城的目标,</w:t>
      </w:r>
      <w:r>
        <w:rPr>
          <w:rFonts w:hint="eastAsia"/>
        </w:rPr>
        <w:t xml:space="preserve"> </w:t>
      </w:r>
      <w:r>
        <w:rPr>
          <w:rFonts w:hint="eastAsia" w:ascii="仿宋_GB2312" w:eastAsia="仿宋_GB2312" w:cs="仿宋_GB2312"/>
          <w:sz w:val="32"/>
          <w:szCs w:val="32"/>
        </w:rPr>
        <w:t>聚力巩固脱贫成效，在决胜全面小康上实现新突破。严格落实“十大巩固提升工程”，重点解决“两不愁三保障”突出问题;全力抓好疫情防控工作，确保了人民群众生命安全和身体健康;统筹推进疫情防控和经济发展，全面完成2020年经济社会发展目标任务。</w:t>
      </w:r>
    </w:p>
    <w:bookmarkEnd w:id="16"/>
    <w:p w14:paraId="7462B30C">
      <w:pPr>
        <w:spacing w:line="560" w:lineRule="exact"/>
        <w:ind w:firstLine="598" w:firstLineChars="186"/>
        <w:outlineLvl w:val="3"/>
        <w:rPr>
          <w:rFonts w:ascii="楷体" w:hAnsi="楷体" w:eastAsia="楷体" w:cs="楷体"/>
          <w:b/>
          <w:sz w:val="32"/>
          <w:szCs w:val="32"/>
        </w:rPr>
      </w:pPr>
      <w:r>
        <w:rPr>
          <w:rFonts w:hint="eastAsia" w:ascii="楷体" w:hAnsi="楷体" w:eastAsia="楷体" w:cs="楷体"/>
          <w:b/>
          <w:sz w:val="32"/>
          <w:szCs w:val="32"/>
        </w:rPr>
        <w:t>2.1.</w:t>
      </w:r>
      <w:r>
        <w:rPr>
          <w:rFonts w:ascii="楷体" w:hAnsi="楷体" w:eastAsia="楷体" w:cs="楷体"/>
          <w:b/>
          <w:sz w:val="32"/>
          <w:szCs w:val="32"/>
        </w:rPr>
        <w:t>3</w:t>
      </w:r>
      <w:r>
        <w:rPr>
          <w:rFonts w:hint="eastAsia" w:ascii="楷体" w:hAnsi="楷体" w:eastAsia="楷体" w:cs="楷体"/>
          <w:b/>
          <w:sz w:val="32"/>
          <w:szCs w:val="32"/>
        </w:rPr>
        <w:t xml:space="preserve">  部门整体资金预算安排情况</w:t>
      </w:r>
    </w:p>
    <w:p w14:paraId="0ECF24D0">
      <w:pPr>
        <w:spacing w:line="560" w:lineRule="exact"/>
        <w:ind w:firstLine="640" w:firstLineChars="200"/>
        <w:outlineLvl w:val="2"/>
        <w:rPr>
          <w:rFonts w:ascii="仿宋" w:hAnsi="仿宋" w:eastAsia="仿宋"/>
          <w:sz w:val="32"/>
          <w:szCs w:val="32"/>
        </w:rPr>
      </w:pPr>
      <w:bookmarkStart w:id="17" w:name="_Toc27942"/>
      <w:bookmarkStart w:id="18" w:name="_Toc13256"/>
      <w:r>
        <w:rPr>
          <w:rFonts w:hint="eastAsia" w:ascii="仿宋" w:hAnsi="仿宋" w:eastAsia="仿宋"/>
          <w:sz w:val="32"/>
          <w:szCs w:val="32"/>
        </w:rPr>
        <w:t>2</w:t>
      </w:r>
      <w:r>
        <w:rPr>
          <w:rFonts w:ascii="仿宋" w:hAnsi="仿宋" w:eastAsia="仿宋"/>
          <w:sz w:val="32"/>
          <w:szCs w:val="32"/>
        </w:rPr>
        <w:t>020</w:t>
      </w:r>
      <w:r>
        <w:rPr>
          <w:rFonts w:hint="eastAsia" w:ascii="仿宋" w:hAnsi="仿宋" w:eastAsia="仿宋"/>
          <w:sz w:val="32"/>
          <w:szCs w:val="32"/>
        </w:rPr>
        <w:t>年天城镇人民政府部门整体支出预算</w:t>
      </w:r>
      <w:r>
        <w:rPr>
          <w:rFonts w:hint="eastAsia" w:ascii="仿宋" w:hAnsi="仿宋" w:eastAsia="仿宋"/>
          <w:bCs/>
          <w:sz w:val="32"/>
          <w:szCs w:val="32"/>
        </w:rPr>
        <w:t>3,209.6</w:t>
      </w:r>
      <w:r>
        <w:rPr>
          <w:rFonts w:hint="eastAsia" w:ascii="仿宋" w:hAnsi="仿宋" w:eastAsia="仿宋"/>
          <w:sz w:val="32"/>
          <w:szCs w:val="32"/>
        </w:rPr>
        <w:t>万元，用于人员经费2</w:t>
      </w:r>
      <w:r>
        <w:rPr>
          <w:rFonts w:ascii="仿宋" w:hAnsi="仿宋" w:eastAsia="仿宋"/>
          <w:sz w:val="32"/>
          <w:szCs w:val="32"/>
        </w:rPr>
        <w:t>,</w:t>
      </w:r>
      <w:r>
        <w:rPr>
          <w:rFonts w:hint="eastAsia" w:ascii="仿宋" w:hAnsi="仿宋" w:eastAsia="仿宋"/>
          <w:sz w:val="32"/>
          <w:szCs w:val="32"/>
        </w:rPr>
        <w:t>425</w:t>
      </w:r>
      <w:r>
        <w:rPr>
          <w:rFonts w:ascii="仿宋" w:hAnsi="仿宋" w:eastAsia="仿宋"/>
          <w:sz w:val="32"/>
          <w:szCs w:val="32"/>
        </w:rPr>
        <w:t>.</w:t>
      </w:r>
      <w:r>
        <w:rPr>
          <w:rFonts w:hint="eastAsia" w:ascii="仿宋" w:hAnsi="仿宋" w:eastAsia="仿宋"/>
          <w:sz w:val="32"/>
          <w:szCs w:val="32"/>
        </w:rPr>
        <w:t>15万元，公用经费320.24万元，项目支出</w:t>
      </w:r>
      <w:r>
        <w:rPr>
          <w:rFonts w:ascii="仿宋" w:hAnsi="仿宋" w:eastAsia="仿宋"/>
          <w:sz w:val="32"/>
          <w:szCs w:val="32"/>
        </w:rPr>
        <w:t>464.21</w:t>
      </w:r>
      <w:r>
        <w:rPr>
          <w:rFonts w:hint="eastAsia" w:ascii="仿宋" w:hAnsi="仿宋" w:eastAsia="仿宋"/>
          <w:sz w:val="32"/>
          <w:szCs w:val="32"/>
        </w:rPr>
        <w:t>万元。</w:t>
      </w:r>
      <w:bookmarkEnd w:id="17"/>
    </w:p>
    <w:p w14:paraId="4910D096">
      <w:pPr>
        <w:spacing w:line="560" w:lineRule="exact"/>
        <w:ind w:firstLine="643" w:firstLineChars="200"/>
        <w:outlineLvl w:val="2"/>
        <w:rPr>
          <w:rFonts w:ascii="楷体" w:hAnsi="楷体" w:eastAsia="楷体"/>
          <w:b/>
          <w:sz w:val="32"/>
          <w:szCs w:val="32"/>
        </w:rPr>
      </w:pPr>
      <w:bookmarkStart w:id="19" w:name="_Toc6884"/>
      <w:r>
        <w:rPr>
          <w:rFonts w:hint="eastAsia" w:ascii="楷体" w:hAnsi="楷体" w:eastAsia="楷体"/>
          <w:b/>
          <w:sz w:val="32"/>
          <w:szCs w:val="32"/>
        </w:rPr>
        <w:t>2</w:t>
      </w:r>
      <w:r>
        <w:rPr>
          <w:rFonts w:ascii="楷体" w:hAnsi="楷体" w:eastAsia="楷体"/>
          <w:b/>
          <w:sz w:val="32"/>
          <w:szCs w:val="32"/>
        </w:rPr>
        <w:t xml:space="preserve">.1.4  </w:t>
      </w:r>
      <w:r>
        <w:rPr>
          <w:rFonts w:hint="eastAsia" w:ascii="楷体" w:hAnsi="楷体" w:eastAsia="楷体" w:cs="楷体"/>
          <w:b/>
          <w:sz w:val="32"/>
          <w:szCs w:val="32"/>
        </w:rPr>
        <w:t>部门整体资金</w:t>
      </w:r>
      <w:r>
        <w:rPr>
          <w:rFonts w:hint="eastAsia" w:ascii="楷体" w:hAnsi="楷体" w:eastAsia="楷体"/>
          <w:b/>
          <w:sz w:val="32"/>
          <w:szCs w:val="32"/>
        </w:rPr>
        <w:t>使用情况</w:t>
      </w:r>
      <w:bookmarkEnd w:id="19"/>
    </w:p>
    <w:p w14:paraId="07F4266C">
      <w:pPr>
        <w:spacing w:line="560" w:lineRule="exact"/>
        <w:ind w:firstLine="640" w:firstLineChars="200"/>
        <w:outlineLvl w:val="2"/>
        <w:rPr>
          <w:rFonts w:ascii="仿宋" w:hAnsi="仿宋" w:eastAsia="仿宋"/>
          <w:sz w:val="32"/>
          <w:szCs w:val="32"/>
        </w:rPr>
      </w:pPr>
      <w:bookmarkStart w:id="20" w:name="_Toc27134"/>
      <w:r>
        <w:rPr>
          <w:rFonts w:hint="eastAsia" w:ascii="仿宋" w:hAnsi="仿宋" w:eastAsia="仿宋"/>
          <w:sz w:val="32"/>
          <w:szCs w:val="32"/>
        </w:rPr>
        <w:t>截止2</w:t>
      </w:r>
      <w:r>
        <w:rPr>
          <w:rFonts w:ascii="仿宋" w:hAnsi="仿宋" w:eastAsia="仿宋"/>
          <w:sz w:val="32"/>
          <w:szCs w:val="32"/>
        </w:rPr>
        <w:t>020</w:t>
      </w:r>
      <w:r>
        <w:rPr>
          <w:rFonts w:hint="eastAsia" w:ascii="仿宋" w:hAnsi="仿宋" w:eastAsia="仿宋"/>
          <w:sz w:val="32"/>
          <w:szCs w:val="32"/>
        </w:rPr>
        <w:t>年1</w:t>
      </w:r>
      <w:r>
        <w:rPr>
          <w:rFonts w:ascii="仿宋" w:hAnsi="仿宋" w:eastAsia="仿宋"/>
          <w:sz w:val="32"/>
          <w:szCs w:val="32"/>
        </w:rPr>
        <w:t>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日，部门整体支出</w:t>
      </w:r>
      <w:r>
        <w:rPr>
          <w:rFonts w:hint="eastAsia" w:ascii="仿宋" w:hAnsi="仿宋" w:eastAsia="仿宋"/>
          <w:bCs/>
          <w:sz w:val="32"/>
          <w:szCs w:val="32"/>
        </w:rPr>
        <w:t>2,344.42</w:t>
      </w:r>
      <w:r>
        <w:rPr>
          <w:rFonts w:hint="eastAsia" w:ascii="仿宋" w:hAnsi="仿宋" w:eastAsia="仿宋"/>
          <w:sz w:val="32"/>
          <w:szCs w:val="32"/>
        </w:rPr>
        <w:t>万元，结余资金865.18万元。具体使用情况如下：</w:t>
      </w:r>
      <w:bookmarkEnd w:id="20"/>
    </w:p>
    <w:p w14:paraId="75107748">
      <w:pPr>
        <w:spacing w:line="560" w:lineRule="exact"/>
        <w:jc w:val="center"/>
        <w:rPr>
          <w:rFonts w:ascii="仿宋" w:hAnsi="仿宋" w:eastAsia="仿宋" w:cs="宋体"/>
          <w:b/>
          <w:kern w:val="0"/>
          <w:sz w:val="32"/>
          <w:szCs w:val="32"/>
        </w:rPr>
      </w:pPr>
      <w:r>
        <w:rPr>
          <w:rFonts w:hint="eastAsia" w:ascii="仿宋" w:hAnsi="仿宋" w:eastAsia="仿宋"/>
          <w:b/>
          <w:sz w:val="32"/>
          <w:szCs w:val="32"/>
        </w:rPr>
        <w:t>天城镇人民政府2020年部门整体支出</w:t>
      </w:r>
      <w:r>
        <w:rPr>
          <w:rFonts w:hint="eastAsia" w:ascii="仿宋" w:hAnsi="仿宋" w:eastAsia="仿宋" w:cs="宋体"/>
          <w:b/>
          <w:kern w:val="0"/>
          <w:sz w:val="32"/>
          <w:szCs w:val="32"/>
        </w:rPr>
        <w:t>实际执行情况表</w:t>
      </w:r>
    </w:p>
    <w:p w14:paraId="1F81C2EC">
      <w:pPr>
        <w:spacing w:line="560" w:lineRule="exact"/>
        <w:ind w:right="400"/>
        <w:jc w:val="right"/>
        <w:outlineLvl w:val="0"/>
        <w:rPr>
          <w:rFonts w:ascii="仿宋" w:hAnsi="仿宋" w:eastAsia="仿宋" w:cs="宋体"/>
          <w:kern w:val="0"/>
          <w:sz w:val="28"/>
          <w:szCs w:val="28"/>
        </w:rPr>
      </w:pPr>
      <w:bookmarkStart w:id="21" w:name="_Toc21346"/>
      <w:r>
        <w:rPr>
          <w:rFonts w:hint="eastAsia" w:ascii="仿宋" w:hAnsi="仿宋" w:eastAsia="仿宋" w:cs="宋体"/>
          <w:kern w:val="0"/>
          <w:sz w:val="28"/>
          <w:szCs w:val="28"/>
        </w:rPr>
        <w:t>单位：万元</w:t>
      </w:r>
      <w:bookmarkEnd w:id="21"/>
    </w:p>
    <w:tbl>
      <w:tblPr>
        <w:tblStyle w:val="10"/>
        <w:tblW w:w="4810" w:type="pct"/>
        <w:jc w:val="center"/>
        <w:tblLayout w:type="autofit"/>
        <w:tblCellMar>
          <w:top w:w="0" w:type="dxa"/>
          <w:left w:w="108" w:type="dxa"/>
          <w:bottom w:w="0" w:type="dxa"/>
          <w:right w:w="108" w:type="dxa"/>
        </w:tblCellMar>
      </w:tblPr>
      <w:tblGrid>
        <w:gridCol w:w="4972"/>
        <w:gridCol w:w="3745"/>
      </w:tblGrid>
      <w:tr w14:paraId="1C5D226A">
        <w:tblPrEx>
          <w:tblCellMar>
            <w:top w:w="0" w:type="dxa"/>
            <w:left w:w="108" w:type="dxa"/>
            <w:bottom w:w="0" w:type="dxa"/>
            <w:right w:w="108" w:type="dxa"/>
          </w:tblCellMar>
        </w:tblPrEx>
        <w:trPr>
          <w:trHeight w:val="510" w:hRule="exact"/>
          <w:tblHeader/>
          <w:jc w:val="center"/>
        </w:trPr>
        <w:tc>
          <w:tcPr>
            <w:tcW w:w="2852" w:type="pct"/>
            <w:tcBorders>
              <w:top w:val="single" w:color="auto" w:sz="4" w:space="0"/>
              <w:left w:val="single" w:color="auto" w:sz="4" w:space="0"/>
              <w:bottom w:val="single" w:color="auto" w:sz="4" w:space="0"/>
              <w:right w:val="single" w:color="auto" w:sz="4" w:space="0"/>
            </w:tcBorders>
            <w:shd w:val="clear" w:color="auto" w:fill="auto"/>
          </w:tcPr>
          <w:p w14:paraId="25B5166B">
            <w:pPr>
              <w:widowControl/>
              <w:spacing w:line="560" w:lineRule="exact"/>
              <w:jc w:val="center"/>
              <w:rPr>
                <w:rFonts w:ascii="仿宋" w:hAnsi="仿宋" w:eastAsia="仿宋"/>
                <w:b/>
                <w:sz w:val="28"/>
                <w:szCs w:val="28"/>
              </w:rPr>
            </w:pPr>
            <w:r>
              <w:rPr>
                <w:rFonts w:hint="eastAsia" w:ascii="仿宋" w:hAnsi="仿宋" w:eastAsia="仿宋"/>
                <w:b/>
                <w:sz w:val="28"/>
                <w:szCs w:val="28"/>
              </w:rPr>
              <w:t>支出项目</w:t>
            </w:r>
          </w:p>
        </w:tc>
        <w:tc>
          <w:tcPr>
            <w:tcW w:w="2148" w:type="pct"/>
            <w:tcBorders>
              <w:top w:val="single" w:color="auto" w:sz="4" w:space="0"/>
              <w:left w:val="nil"/>
              <w:bottom w:val="single" w:color="auto" w:sz="4" w:space="0"/>
              <w:right w:val="single" w:color="auto" w:sz="4" w:space="0"/>
            </w:tcBorders>
            <w:shd w:val="clear" w:color="auto" w:fill="auto"/>
          </w:tcPr>
          <w:p w14:paraId="338CE6B3">
            <w:pPr>
              <w:spacing w:line="560" w:lineRule="exact"/>
              <w:jc w:val="center"/>
              <w:rPr>
                <w:rFonts w:ascii="仿宋" w:hAnsi="仿宋" w:eastAsia="仿宋"/>
                <w:b/>
                <w:sz w:val="28"/>
                <w:szCs w:val="28"/>
              </w:rPr>
            </w:pPr>
            <w:r>
              <w:rPr>
                <w:rFonts w:hint="eastAsia" w:ascii="仿宋" w:hAnsi="仿宋" w:eastAsia="仿宋"/>
                <w:b/>
                <w:sz w:val="28"/>
                <w:szCs w:val="28"/>
              </w:rPr>
              <w:t>年末支出数</w:t>
            </w:r>
          </w:p>
        </w:tc>
      </w:tr>
      <w:tr w14:paraId="4A360558">
        <w:tblPrEx>
          <w:tblCellMar>
            <w:top w:w="0" w:type="dxa"/>
            <w:left w:w="108" w:type="dxa"/>
            <w:bottom w:w="0" w:type="dxa"/>
            <w:right w:w="108" w:type="dxa"/>
          </w:tblCellMar>
        </w:tblPrEx>
        <w:trPr>
          <w:trHeight w:val="513" w:hRule="exact"/>
          <w:jc w:val="center"/>
        </w:trPr>
        <w:tc>
          <w:tcPr>
            <w:tcW w:w="2852" w:type="pct"/>
            <w:tcBorders>
              <w:top w:val="single" w:color="auto" w:sz="4" w:space="0"/>
              <w:left w:val="single" w:color="auto" w:sz="4" w:space="0"/>
              <w:bottom w:val="single" w:color="auto" w:sz="4" w:space="0"/>
              <w:right w:val="single" w:color="auto" w:sz="4" w:space="0"/>
            </w:tcBorders>
            <w:shd w:val="clear" w:color="auto" w:fill="FFFFFF"/>
          </w:tcPr>
          <w:p w14:paraId="002D3A45">
            <w:pPr>
              <w:spacing w:line="560" w:lineRule="exact"/>
              <w:jc w:val="center"/>
              <w:rPr>
                <w:rFonts w:ascii="仿宋" w:hAnsi="仿宋" w:eastAsia="仿宋"/>
                <w:sz w:val="28"/>
                <w:szCs w:val="28"/>
              </w:rPr>
            </w:pPr>
            <w:bookmarkStart w:id="22" w:name="_Hlk40773144"/>
            <w:r>
              <w:rPr>
                <w:rFonts w:hint="eastAsia" w:ascii="仿宋" w:hAnsi="仿宋" w:eastAsia="仿宋"/>
                <w:sz w:val="28"/>
                <w:szCs w:val="28"/>
              </w:rPr>
              <w:t>人员经费</w:t>
            </w:r>
          </w:p>
        </w:tc>
        <w:tc>
          <w:tcPr>
            <w:tcW w:w="2148" w:type="pct"/>
            <w:tcBorders>
              <w:top w:val="single" w:color="auto" w:sz="4" w:space="0"/>
              <w:left w:val="single" w:color="auto" w:sz="4" w:space="0"/>
              <w:bottom w:val="single" w:color="auto" w:sz="4" w:space="0"/>
              <w:right w:val="single" w:color="auto" w:sz="4" w:space="0"/>
            </w:tcBorders>
          </w:tcPr>
          <w:p w14:paraId="2B64E5CC">
            <w:pPr>
              <w:spacing w:line="560" w:lineRule="exact"/>
              <w:jc w:val="center"/>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73</w:t>
            </w:r>
            <w:r>
              <w:rPr>
                <w:rFonts w:ascii="仿宋" w:hAnsi="仿宋" w:eastAsia="仿宋"/>
                <w:sz w:val="28"/>
                <w:szCs w:val="28"/>
              </w:rPr>
              <w:t>.</w:t>
            </w:r>
            <w:r>
              <w:rPr>
                <w:rFonts w:hint="eastAsia" w:ascii="仿宋" w:hAnsi="仿宋" w:eastAsia="仿宋"/>
                <w:sz w:val="28"/>
                <w:szCs w:val="28"/>
              </w:rPr>
              <w:t>83</w:t>
            </w:r>
          </w:p>
        </w:tc>
      </w:tr>
      <w:tr w14:paraId="7C03F304">
        <w:tblPrEx>
          <w:tblCellMar>
            <w:top w:w="0" w:type="dxa"/>
            <w:left w:w="108" w:type="dxa"/>
            <w:bottom w:w="0" w:type="dxa"/>
            <w:right w:w="108" w:type="dxa"/>
          </w:tblCellMar>
        </w:tblPrEx>
        <w:trPr>
          <w:trHeight w:val="513" w:hRule="exact"/>
          <w:jc w:val="center"/>
        </w:trPr>
        <w:tc>
          <w:tcPr>
            <w:tcW w:w="2852" w:type="pct"/>
            <w:tcBorders>
              <w:top w:val="single" w:color="auto" w:sz="4" w:space="0"/>
              <w:left w:val="single" w:color="auto" w:sz="4" w:space="0"/>
              <w:bottom w:val="single" w:color="auto" w:sz="4" w:space="0"/>
              <w:right w:val="single" w:color="auto" w:sz="4" w:space="0"/>
            </w:tcBorders>
            <w:shd w:val="clear" w:color="auto" w:fill="FFFFFF"/>
          </w:tcPr>
          <w:p w14:paraId="7AABC92E">
            <w:pPr>
              <w:spacing w:line="560" w:lineRule="exact"/>
              <w:jc w:val="center"/>
              <w:rPr>
                <w:rFonts w:ascii="仿宋" w:hAnsi="仿宋" w:eastAsia="仿宋"/>
                <w:sz w:val="28"/>
                <w:szCs w:val="28"/>
              </w:rPr>
            </w:pPr>
            <w:r>
              <w:rPr>
                <w:rFonts w:hint="eastAsia" w:ascii="仿宋" w:hAnsi="仿宋" w:eastAsia="仿宋"/>
                <w:sz w:val="28"/>
                <w:szCs w:val="28"/>
              </w:rPr>
              <w:t>公用经费</w:t>
            </w:r>
          </w:p>
        </w:tc>
        <w:tc>
          <w:tcPr>
            <w:tcW w:w="2148" w:type="pct"/>
            <w:tcBorders>
              <w:top w:val="single" w:color="auto" w:sz="4" w:space="0"/>
              <w:left w:val="single" w:color="auto" w:sz="4" w:space="0"/>
              <w:bottom w:val="single" w:color="auto" w:sz="4" w:space="0"/>
              <w:right w:val="single" w:color="auto" w:sz="4" w:space="0"/>
            </w:tcBorders>
          </w:tcPr>
          <w:p w14:paraId="770A20D7">
            <w:pPr>
              <w:spacing w:line="560" w:lineRule="exact"/>
              <w:jc w:val="center"/>
              <w:rPr>
                <w:rFonts w:ascii="仿宋" w:hAnsi="仿宋" w:eastAsia="仿宋"/>
                <w:sz w:val="28"/>
                <w:szCs w:val="28"/>
              </w:rPr>
            </w:pPr>
            <w:r>
              <w:rPr>
                <w:rFonts w:hint="eastAsia" w:ascii="仿宋" w:hAnsi="仿宋" w:eastAsia="仿宋"/>
                <w:sz w:val="28"/>
                <w:szCs w:val="28"/>
              </w:rPr>
              <w:t>306.38</w:t>
            </w:r>
          </w:p>
        </w:tc>
      </w:tr>
      <w:tr w14:paraId="04ACE1CB">
        <w:tblPrEx>
          <w:tblCellMar>
            <w:top w:w="0" w:type="dxa"/>
            <w:left w:w="108" w:type="dxa"/>
            <w:bottom w:w="0" w:type="dxa"/>
            <w:right w:w="108" w:type="dxa"/>
          </w:tblCellMar>
        </w:tblPrEx>
        <w:trPr>
          <w:trHeight w:val="513" w:hRule="exact"/>
          <w:jc w:val="center"/>
        </w:trPr>
        <w:tc>
          <w:tcPr>
            <w:tcW w:w="2852" w:type="pct"/>
            <w:tcBorders>
              <w:top w:val="single" w:color="auto" w:sz="4" w:space="0"/>
              <w:left w:val="single" w:color="auto" w:sz="4" w:space="0"/>
              <w:bottom w:val="single" w:color="auto" w:sz="4" w:space="0"/>
              <w:right w:val="single" w:color="auto" w:sz="4" w:space="0"/>
            </w:tcBorders>
            <w:shd w:val="clear" w:color="auto" w:fill="FFFFFF"/>
          </w:tcPr>
          <w:p w14:paraId="6060DC41">
            <w:pPr>
              <w:spacing w:line="560" w:lineRule="exact"/>
              <w:jc w:val="center"/>
              <w:rPr>
                <w:rFonts w:ascii="仿宋" w:hAnsi="仿宋" w:eastAsia="仿宋"/>
                <w:sz w:val="28"/>
                <w:szCs w:val="28"/>
              </w:rPr>
            </w:pPr>
            <w:r>
              <w:rPr>
                <w:rFonts w:hint="eastAsia" w:ascii="仿宋" w:hAnsi="仿宋" w:eastAsia="仿宋"/>
                <w:sz w:val="28"/>
                <w:szCs w:val="28"/>
              </w:rPr>
              <w:t>项目支出</w:t>
            </w:r>
          </w:p>
        </w:tc>
        <w:tc>
          <w:tcPr>
            <w:tcW w:w="2148" w:type="pct"/>
            <w:tcBorders>
              <w:top w:val="single" w:color="auto" w:sz="4" w:space="0"/>
              <w:left w:val="single" w:color="auto" w:sz="4" w:space="0"/>
              <w:bottom w:val="single" w:color="auto" w:sz="4" w:space="0"/>
              <w:right w:val="single" w:color="auto" w:sz="4" w:space="0"/>
            </w:tcBorders>
          </w:tcPr>
          <w:p w14:paraId="4F2EACA2">
            <w:pPr>
              <w:spacing w:line="560" w:lineRule="exact"/>
              <w:jc w:val="center"/>
              <w:rPr>
                <w:rFonts w:ascii="仿宋" w:hAnsi="仿宋" w:eastAsia="仿宋"/>
                <w:sz w:val="28"/>
                <w:szCs w:val="28"/>
              </w:rPr>
            </w:pPr>
            <w:r>
              <w:rPr>
                <w:rFonts w:hint="eastAsia" w:ascii="仿宋" w:hAnsi="仿宋" w:eastAsia="仿宋"/>
                <w:sz w:val="28"/>
                <w:szCs w:val="28"/>
              </w:rPr>
              <w:t>464.21</w:t>
            </w:r>
          </w:p>
        </w:tc>
      </w:tr>
      <w:bookmarkEnd w:id="22"/>
      <w:tr w14:paraId="4608DDF9">
        <w:tblPrEx>
          <w:tblCellMar>
            <w:top w:w="0" w:type="dxa"/>
            <w:left w:w="108" w:type="dxa"/>
            <w:bottom w:w="0" w:type="dxa"/>
            <w:right w:w="108" w:type="dxa"/>
          </w:tblCellMar>
        </w:tblPrEx>
        <w:trPr>
          <w:trHeight w:val="510" w:hRule="exact"/>
          <w:jc w:val="center"/>
        </w:trPr>
        <w:tc>
          <w:tcPr>
            <w:tcW w:w="2852" w:type="pct"/>
            <w:tcBorders>
              <w:top w:val="single" w:color="auto" w:sz="4" w:space="0"/>
              <w:left w:val="single" w:color="auto" w:sz="4" w:space="0"/>
              <w:bottom w:val="single" w:color="auto" w:sz="4" w:space="0"/>
              <w:right w:val="single" w:color="auto" w:sz="4" w:space="0"/>
            </w:tcBorders>
            <w:shd w:val="clear" w:color="auto" w:fill="auto"/>
          </w:tcPr>
          <w:p w14:paraId="5F66A26A">
            <w:pPr>
              <w:spacing w:line="560" w:lineRule="exact"/>
              <w:jc w:val="center"/>
              <w:rPr>
                <w:rFonts w:ascii="仿宋" w:hAnsi="仿宋" w:eastAsia="仿宋"/>
                <w:b/>
                <w:bCs/>
                <w:sz w:val="28"/>
                <w:szCs w:val="28"/>
              </w:rPr>
            </w:pPr>
            <w:r>
              <w:rPr>
                <w:rFonts w:hint="eastAsia" w:ascii="仿宋" w:hAnsi="仿宋" w:eastAsia="仿宋"/>
                <w:b/>
                <w:bCs/>
                <w:sz w:val="28"/>
                <w:szCs w:val="28"/>
              </w:rPr>
              <w:t>合  计</w:t>
            </w:r>
          </w:p>
        </w:tc>
        <w:tc>
          <w:tcPr>
            <w:tcW w:w="2148" w:type="pct"/>
            <w:tcBorders>
              <w:top w:val="single" w:color="auto" w:sz="4" w:space="0"/>
              <w:left w:val="single" w:color="auto" w:sz="4" w:space="0"/>
              <w:bottom w:val="single" w:color="auto" w:sz="4" w:space="0"/>
              <w:right w:val="single" w:color="auto" w:sz="4" w:space="0"/>
            </w:tcBorders>
            <w:shd w:val="clear" w:color="auto" w:fill="auto"/>
          </w:tcPr>
          <w:p w14:paraId="178DEDFD">
            <w:pPr>
              <w:spacing w:line="560" w:lineRule="exact"/>
              <w:jc w:val="center"/>
              <w:rPr>
                <w:rFonts w:ascii="仿宋" w:hAnsi="仿宋" w:eastAsia="仿宋"/>
                <w:b/>
                <w:bCs/>
                <w:sz w:val="28"/>
                <w:szCs w:val="28"/>
              </w:rPr>
            </w:pPr>
            <w:r>
              <w:rPr>
                <w:rFonts w:ascii="仿宋" w:hAnsi="仿宋" w:eastAsia="仿宋"/>
                <w:b/>
                <w:bCs/>
                <w:sz w:val="28"/>
                <w:szCs w:val="28"/>
              </w:rPr>
              <w:t>2,344.42</w:t>
            </w:r>
          </w:p>
        </w:tc>
      </w:tr>
    </w:tbl>
    <w:p w14:paraId="0791084C">
      <w:pPr>
        <w:spacing w:line="560" w:lineRule="exact"/>
        <w:ind w:firstLine="643" w:firstLineChars="200"/>
        <w:outlineLvl w:val="2"/>
        <w:rPr>
          <w:rFonts w:ascii="楷体" w:hAnsi="楷体" w:eastAsia="楷体"/>
          <w:b/>
          <w:sz w:val="32"/>
          <w:szCs w:val="32"/>
        </w:rPr>
      </w:pPr>
      <w:r>
        <w:rPr>
          <w:rFonts w:hint="eastAsia" w:ascii="楷体" w:hAnsi="楷体" w:eastAsia="楷体"/>
          <w:b/>
          <w:sz w:val="32"/>
          <w:szCs w:val="32"/>
        </w:rPr>
        <w:t>2</w:t>
      </w:r>
      <w:r>
        <w:rPr>
          <w:rFonts w:ascii="楷体" w:hAnsi="楷体" w:eastAsia="楷体"/>
          <w:b/>
          <w:sz w:val="32"/>
          <w:szCs w:val="32"/>
        </w:rPr>
        <w:t>.1.</w:t>
      </w:r>
      <w:r>
        <w:rPr>
          <w:rFonts w:hint="eastAsia" w:ascii="楷体" w:hAnsi="楷体" w:eastAsia="楷体"/>
          <w:b/>
          <w:sz w:val="32"/>
          <w:szCs w:val="32"/>
        </w:rPr>
        <w:t>5</w:t>
      </w:r>
      <w:r>
        <w:rPr>
          <w:rFonts w:ascii="楷体" w:hAnsi="楷体" w:eastAsia="楷体"/>
          <w:b/>
          <w:sz w:val="32"/>
          <w:szCs w:val="32"/>
        </w:rPr>
        <w:t xml:space="preserve">  </w:t>
      </w:r>
      <w:r>
        <w:rPr>
          <w:rFonts w:hint="eastAsia" w:ascii="楷体" w:hAnsi="楷体" w:eastAsia="楷体" w:cs="楷体"/>
          <w:b/>
          <w:sz w:val="32"/>
          <w:szCs w:val="32"/>
        </w:rPr>
        <w:t>部门整体资金</w:t>
      </w:r>
      <w:r>
        <w:rPr>
          <w:rFonts w:hint="eastAsia" w:ascii="楷体" w:hAnsi="楷体" w:eastAsia="楷体"/>
          <w:b/>
          <w:sz w:val="32"/>
          <w:szCs w:val="32"/>
        </w:rPr>
        <w:t>管理情况</w:t>
      </w:r>
    </w:p>
    <w:p w14:paraId="1AFB6CC3">
      <w:pPr>
        <w:spacing w:line="560" w:lineRule="exact"/>
        <w:ind w:firstLine="640" w:firstLineChars="200"/>
        <w:rPr>
          <w:rFonts w:ascii="仿宋" w:hAnsi="仿宋" w:eastAsia="仿宋"/>
          <w:color w:val="C00000"/>
          <w:sz w:val="30"/>
          <w:szCs w:val="30"/>
        </w:rPr>
      </w:pPr>
      <w:r>
        <w:rPr>
          <w:rFonts w:hint="eastAsia" w:ascii="仿宋" w:hAnsi="仿宋" w:eastAsia="仿宋" w:cs="仿宋"/>
          <w:sz w:val="32"/>
          <w:szCs w:val="32"/>
        </w:rPr>
        <w:t>天城镇人民政府资金结付有完整的审批程序和手续，按照政府财务管理制度的有关要求，做到专款专用，专人保管，单位分管领导对资金的使用进行全程监督，保证资金使用的规范。相关发票由财务人员审核后，报分管财务领导签字，再由主要负责人签字同意报账后方可结算。加强预算管理和执行力度，确保资金安全，有效运行。</w:t>
      </w:r>
    </w:p>
    <w:p w14:paraId="3492263A">
      <w:pPr>
        <w:spacing w:line="560" w:lineRule="exact"/>
        <w:ind w:firstLine="643" w:firstLineChars="200"/>
        <w:outlineLvl w:val="2"/>
        <w:rPr>
          <w:rFonts w:ascii="楷体" w:hAnsi="楷体" w:eastAsia="楷体" w:cs="楷体"/>
          <w:b/>
          <w:sz w:val="32"/>
          <w:szCs w:val="32"/>
        </w:rPr>
      </w:pPr>
      <w:bookmarkStart w:id="23" w:name="_Toc13325"/>
      <w:r>
        <w:rPr>
          <w:rFonts w:ascii="黑体" w:hAnsi="黑体" w:eastAsia="黑体" w:cs="楷体"/>
          <w:b/>
          <w:sz w:val="32"/>
          <w:szCs w:val="32"/>
        </w:rPr>
        <w:t xml:space="preserve">2.2 </w:t>
      </w:r>
      <w:r>
        <w:rPr>
          <w:rFonts w:ascii="黑体" w:hAnsi="黑体" w:eastAsia="黑体" w:cs="楷体"/>
          <w:sz w:val="32"/>
          <w:szCs w:val="32"/>
        </w:rPr>
        <w:t xml:space="preserve"> </w:t>
      </w:r>
      <w:r>
        <w:rPr>
          <w:rFonts w:hint="eastAsia" w:ascii="黑体" w:hAnsi="黑体" w:eastAsia="黑体" w:cs="楷体"/>
          <w:sz w:val="32"/>
          <w:szCs w:val="32"/>
        </w:rPr>
        <w:t>绩效评价工作开展情况</w:t>
      </w:r>
      <w:bookmarkEnd w:id="23"/>
    </w:p>
    <w:p w14:paraId="3394745F">
      <w:pPr>
        <w:spacing w:line="560" w:lineRule="exact"/>
        <w:ind w:firstLine="643" w:firstLineChars="200"/>
        <w:outlineLvl w:val="2"/>
        <w:rPr>
          <w:rFonts w:ascii="楷体" w:hAnsi="楷体" w:eastAsia="楷体" w:cs="楷体"/>
          <w:b/>
          <w:sz w:val="32"/>
          <w:szCs w:val="32"/>
        </w:rPr>
      </w:pPr>
      <w:bookmarkStart w:id="24" w:name="_Toc6329"/>
      <w:r>
        <w:rPr>
          <w:rFonts w:hint="eastAsia" w:ascii="楷体" w:hAnsi="楷体" w:eastAsia="楷体" w:cs="楷体"/>
          <w:b/>
          <w:sz w:val="32"/>
          <w:szCs w:val="32"/>
        </w:rPr>
        <w:t>2.2.1  评价目的</w:t>
      </w:r>
      <w:bookmarkEnd w:id="18"/>
      <w:bookmarkEnd w:id="24"/>
    </w:p>
    <w:p w14:paraId="15B444B1">
      <w:pPr>
        <w:spacing w:line="560" w:lineRule="exact"/>
        <w:ind w:firstLine="640" w:firstLineChars="200"/>
        <w:rPr>
          <w:rFonts w:ascii="仿宋" w:hAnsi="仿宋" w:eastAsia="仿宋" w:cs="宋体"/>
          <w:color w:val="FF0000"/>
          <w:sz w:val="32"/>
          <w:szCs w:val="32"/>
        </w:rPr>
      </w:pPr>
      <w:bookmarkStart w:id="25" w:name="_Toc21483"/>
      <w:bookmarkStart w:id="26" w:name="_Toc2587"/>
      <w:bookmarkStart w:id="27" w:name="_Toc21896"/>
      <w:r>
        <w:rPr>
          <w:rFonts w:ascii="仿宋" w:hAnsi="仿宋" w:eastAsia="仿宋" w:cs="宋体"/>
          <w:sz w:val="32"/>
          <w:szCs w:val="32"/>
        </w:rPr>
        <w:t>全面了解</w:t>
      </w:r>
      <w:r>
        <w:rPr>
          <w:rFonts w:hint="eastAsia" w:ascii="仿宋" w:hAnsi="仿宋" w:eastAsia="仿宋" w:cs="宋体"/>
          <w:sz w:val="32"/>
          <w:szCs w:val="32"/>
        </w:rPr>
        <w:t>部门整体预算资金投入计划</w:t>
      </w:r>
      <w:r>
        <w:rPr>
          <w:rFonts w:ascii="仿宋" w:hAnsi="仿宋" w:eastAsia="仿宋" w:cs="宋体"/>
          <w:sz w:val="32"/>
          <w:szCs w:val="32"/>
        </w:rPr>
        <w:t>执行</w:t>
      </w:r>
      <w:r>
        <w:rPr>
          <w:rFonts w:hint="eastAsia" w:ascii="仿宋" w:hAnsi="仿宋" w:eastAsia="仿宋" w:cs="宋体"/>
          <w:sz w:val="32"/>
          <w:szCs w:val="32"/>
        </w:rPr>
        <w:t>结果</w:t>
      </w:r>
      <w:r>
        <w:rPr>
          <w:rFonts w:ascii="仿宋" w:hAnsi="仿宋" w:eastAsia="仿宋" w:cs="宋体"/>
          <w:sz w:val="32"/>
          <w:szCs w:val="32"/>
        </w:rPr>
        <w:t>、</w:t>
      </w:r>
      <w:r>
        <w:rPr>
          <w:rFonts w:hint="eastAsia" w:ascii="仿宋" w:hAnsi="仿宋" w:eastAsia="仿宋" w:cs="宋体"/>
          <w:sz w:val="32"/>
          <w:szCs w:val="32"/>
        </w:rPr>
        <w:t>资金</w:t>
      </w:r>
      <w:r>
        <w:rPr>
          <w:rFonts w:ascii="仿宋" w:hAnsi="仿宋" w:eastAsia="仿宋" w:cs="宋体"/>
          <w:sz w:val="32"/>
          <w:szCs w:val="32"/>
        </w:rPr>
        <w:t>管理</w:t>
      </w:r>
      <w:r>
        <w:rPr>
          <w:rFonts w:hint="eastAsia" w:ascii="仿宋" w:hAnsi="仿宋" w:eastAsia="仿宋" w:cs="宋体"/>
          <w:sz w:val="32"/>
          <w:szCs w:val="32"/>
        </w:rPr>
        <w:t>与</w:t>
      </w:r>
      <w:r>
        <w:rPr>
          <w:rFonts w:ascii="仿宋" w:hAnsi="仿宋" w:eastAsia="仿宋" w:cs="宋体"/>
          <w:sz w:val="32"/>
          <w:szCs w:val="32"/>
        </w:rPr>
        <w:t>使用，</w:t>
      </w:r>
      <w:r>
        <w:rPr>
          <w:rFonts w:hint="eastAsia" w:ascii="仿宋" w:hAnsi="仿宋" w:eastAsia="仿宋" w:cs="宋体"/>
          <w:sz w:val="32"/>
          <w:szCs w:val="32"/>
        </w:rPr>
        <w:t>绩效产出与</w:t>
      </w:r>
      <w:r>
        <w:rPr>
          <w:rFonts w:ascii="仿宋" w:hAnsi="仿宋" w:eastAsia="仿宋" w:cs="宋体"/>
          <w:sz w:val="32"/>
          <w:szCs w:val="32"/>
        </w:rPr>
        <w:t>效果，</w:t>
      </w:r>
      <w:r>
        <w:rPr>
          <w:rFonts w:hint="eastAsia" w:ascii="仿宋" w:hAnsi="仿宋" w:eastAsia="仿宋" w:cs="宋体"/>
          <w:sz w:val="32"/>
          <w:szCs w:val="32"/>
        </w:rPr>
        <w:t>切实提高财政资源配置效率与使用效益</w:t>
      </w:r>
      <w:r>
        <w:rPr>
          <w:rFonts w:ascii="仿宋" w:hAnsi="仿宋" w:eastAsia="仿宋" w:cs="宋体"/>
          <w:sz w:val="32"/>
          <w:szCs w:val="32"/>
        </w:rPr>
        <w:t>。</w:t>
      </w:r>
      <w:r>
        <w:rPr>
          <w:rFonts w:hint="eastAsia" w:ascii="仿宋" w:hAnsi="仿宋" w:eastAsia="仿宋" w:cs="宋体"/>
          <w:sz w:val="32"/>
          <w:szCs w:val="32"/>
        </w:rPr>
        <w:t>考核财政支出与</w:t>
      </w:r>
      <w:r>
        <w:rPr>
          <w:rFonts w:ascii="仿宋" w:hAnsi="仿宋" w:eastAsia="仿宋" w:cs="宋体"/>
          <w:sz w:val="32"/>
          <w:szCs w:val="32"/>
        </w:rPr>
        <w:t>实现绩效目标</w:t>
      </w:r>
      <w:r>
        <w:rPr>
          <w:rFonts w:hint="eastAsia" w:ascii="仿宋" w:hAnsi="仿宋" w:eastAsia="仿宋" w:cs="宋体"/>
          <w:sz w:val="32"/>
          <w:szCs w:val="32"/>
        </w:rPr>
        <w:t>的匹配性，完善资金支出绩效目标管理，</w:t>
      </w:r>
      <w:r>
        <w:rPr>
          <w:rFonts w:ascii="仿宋" w:hAnsi="仿宋" w:eastAsia="仿宋" w:cs="宋体"/>
          <w:sz w:val="32"/>
          <w:szCs w:val="32"/>
        </w:rPr>
        <w:t>确保绩效目标</w:t>
      </w:r>
      <w:r>
        <w:rPr>
          <w:rFonts w:hint="eastAsia" w:ascii="仿宋" w:hAnsi="仿宋" w:eastAsia="仿宋" w:cs="宋体"/>
          <w:sz w:val="32"/>
          <w:szCs w:val="32"/>
        </w:rPr>
        <w:t>设定的科学性与合理性</w:t>
      </w:r>
      <w:r>
        <w:rPr>
          <w:rFonts w:ascii="仿宋" w:hAnsi="仿宋" w:eastAsia="仿宋" w:cs="宋体"/>
          <w:sz w:val="32"/>
          <w:szCs w:val="32"/>
        </w:rPr>
        <w:t>。</w:t>
      </w:r>
      <w:r>
        <w:rPr>
          <w:rFonts w:hint="eastAsia" w:ascii="仿宋" w:hAnsi="仿宋" w:eastAsia="仿宋" w:cs="宋体"/>
          <w:sz w:val="32"/>
          <w:szCs w:val="32"/>
        </w:rPr>
        <w:t>同时</w:t>
      </w:r>
      <w:r>
        <w:rPr>
          <w:rFonts w:ascii="仿宋" w:hAnsi="仿宋" w:eastAsia="仿宋" w:cs="宋体"/>
          <w:sz w:val="32"/>
          <w:szCs w:val="32"/>
        </w:rPr>
        <w:t>促使资金使用单位树立绩效</w:t>
      </w:r>
      <w:r>
        <w:rPr>
          <w:rFonts w:hint="eastAsia" w:ascii="仿宋" w:hAnsi="仿宋" w:eastAsia="仿宋" w:cs="宋体"/>
          <w:sz w:val="32"/>
          <w:szCs w:val="32"/>
        </w:rPr>
        <w:t>管理</w:t>
      </w:r>
      <w:r>
        <w:rPr>
          <w:rFonts w:ascii="仿宋" w:hAnsi="仿宋" w:eastAsia="仿宋" w:cs="宋体"/>
          <w:sz w:val="32"/>
          <w:szCs w:val="32"/>
        </w:rPr>
        <w:t>意识及风险控制意识，</w:t>
      </w:r>
      <w:r>
        <w:rPr>
          <w:rFonts w:hint="eastAsia" w:ascii="仿宋" w:hAnsi="仿宋" w:eastAsia="仿宋" w:cs="宋体"/>
          <w:sz w:val="32"/>
          <w:szCs w:val="32"/>
        </w:rPr>
        <w:t>以</w:t>
      </w:r>
      <w:r>
        <w:rPr>
          <w:rFonts w:ascii="仿宋" w:hAnsi="仿宋" w:eastAsia="仿宋" w:cs="宋体"/>
          <w:sz w:val="32"/>
          <w:szCs w:val="32"/>
        </w:rPr>
        <w:t>问题为导向</w:t>
      </w:r>
      <w:r>
        <w:rPr>
          <w:rFonts w:hint="eastAsia" w:ascii="仿宋" w:hAnsi="仿宋" w:eastAsia="仿宋" w:cs="宋体"/>
          <w:sz w:val="32"/>
          <w:szCs w:val="32"/>
        </w:rPr>
        <w:t>，</w:t>
      </w:r>
      <w:r>
        <w:rPr>
          <w:rFonts w:ascii="仿宋" w:hAnsi="仿宋" w:eastAsia="仿宋" w:cs="宋体"/>
          <w:sz w:val="32"/>
          <w:szCs w:val="32"/>
        </w:rPr>
        <w:t>进一步</w:t>
      </w:r>
      <w:r>
        <w:rPr>
          <w:rFonts w:hint="eastAsia" w:ascii="仿宋" w:hAnsi="仿宋" w:eastAsia="仿宋" w:cs="宋体"/>
          <w:sz w:val="32"/>
          <w:szCs w:val="32"/>
        </w:rPr>
        <w:t>完善项目资金</w:t>
      </w:r>
      <w:r>
        <w:rPr>
          <w:rFonts w:ascii="仿宋" w:hAnsi="仿宋" w:eastAsia="仿宋" w:cs="宋体"/>
          <w:sz w:val="32"/>
          <w:szCs w:val="32"/>
        </w:rPr>
        <w:t>管理，提高</w:t>
      </w:r>
      <w:r>
        <w:rPr>
          <w:rFonts w:hint="eastAsia" w:ascii="仿宋" w:hAnsi="仿宋" w:eastAsia="仿宋" w:cs="宋体"/>
          <w:sz w:val="32"/>
          <w:szCs w:val="32"/>
        </w:rPr>
        <w:t>财政资金管理最优化、</w:t>
      </w:r>
      <w:r>
        <w:rPr>
          <w:rFonts w:ascii="仿宋" w:hAnsi="仿宋" w:eastAsia="仿宋" w:cs="宋体"/>
          <w:sz w:val="32"/>
          <w:szCs w:val="32"/>
        </w:rPr>
        <w:t>效益</w:t>
      </w:r>
      <w:r>
        <w:rPr>
          <w:rFonts w:hint="eastAsia" w:ascii="仿宋" w:hAnsi="仿宋" w:eastAsia="仿宋" w:cs="宋体"/>
          <w:sz w:val="32"/>
          <w:szCs w:val="32"/>
        </w:rPr>
        <w:t>最大化</w:t>
      </w:r>
      <w:r>
        <w:rPr>
          <w:rFonts w:ascii="仿宋" w:hAnsi="仿宋" w:eastAsia="仿宋" w:cs="宋体"/>
          <w:sz w:val="32"/>
          <w:szCs w:val="32"/>
        </w:rPr>
        <w:t>。</w:t>
      </w:r>
      <w:bookmarkEnd w:id="25"/>
      <w:bookmarkEnd w:id="26"/>
    </w:p>
    <w:p w14:paraId="5E64522F">
      <w:pPr>
        <w:spacing w:line="560" w:lineRule="exact"/>
        <w:ind w:firstLine="570"/>
        <w:outlineLvl w:val="2"/>
        <w:rPr>
          <w:rFonts w:ascii="楷体" w:hAnsi="楷体" w:eastAsia="楷体" w:cs="楷体"/>
          <w:b/>
          <w:sz w:val="32"/>
          <w:szCs w:val="32"/>
        </w:rPr>
      </w:pPr>
      <w:r>
        <w:rPr>
          <w:rFonts w:hint="eastAsia" w:ascii="楷体" w:hAnsi="楷体" w:eastAsia="楷体" w:cs="楷体"/>
          <w:b/>
          <w:sz w:val="32"/>
          <w:szCs w:val="32"/>
        </w:rPr>
        <w:t>2.2.2  评价工作过程</w:t>
      </w:r>
      <w:bookmarkEnd w:id="27"/>
    </w:p>
    <w:p w14:paraId="1F10D43F">
      <w:pPr>
        <w:spacing w:line="560" w:lineRule="exact"/>
        <w:ind w:firstLine="570"/>
        <w:outlineLvl w:val="2"/>
        <w:rPr>
          <w:rFonts w:ascii="仿宋" w:hAnsi="仿宋" w:eastAsia="仿宋" w:cs="宋体"/>
          <w:b/>
          <w:sz w:val="32"/>
          <w:szCs w:val="32"/>
        </w:rPr>
      </w:pPr>
      <w:bookmarkStart w:id="28" w:name="_Toc8584"/>
      <w:r>
        <w:rPr>
          <w:rFonts w:hint="eastAsia" w:ascii="仿宋" w:hAnsi="仿宋" w:eastAsia="仿宋" w:cs="宋体"/>
          <w:b/>
          <w:sz w:val="32"/>
          <w:szCs w:val="32"/>
        </w:rPr>
        <w:t>2.2.2.1  确定评价对象及范围。</w:t>
      </w:r>
      <w:bookmarkEnd w:id="28"/>
    </w:p>
    <w:p w14:paraId="0A8F347C">
      <w:pPr>
        <w:spacing w:line="560" w:lineRule="exact"/>
        <w:ind w:firstLine="570"/>
        <w:outlineLvl w:val="2"/>
        <w:rPr>
          <w:rFonts w:ascii="仿宋" w:hAnsi="仿宋" w:eastAsia="仿宋" w:cs="宋体"/>
          <w:sz w:val="32"/>
          <w:szCs w:val="32"/>
        </w:rPr>
      </w:pPr>
      <w:bookmarkStart w:id="29" w:name="_Toc19394"/>
      <w:r>
        <w:rPr>
          <w:rFonts w:hint="eastAsia" w:ascii="仿宋" w:hAnsi="仿宋" w:eastAsia="仿宋" w:cs="宋体"/>
          <w:sz w:val="32"/>
          <w:szCs w:val="32"/>
        </w:rPr>
        <w:t>天城镇人民政府2020年部门整体支出</w:t>
      </w:r>
      <w:r>
        <w:rPr>
          <w:rFonts w:ascii="仿宋" w:hAnsi="仿宋" w:eastAsia="仿宋" w:cs="宋体"/>
          <w:sz w:val="32"/>
          <w:szCs w:val="32"/>
        </w:rPr>
        <w:t>2,344.42</w:t>
      </w:r>
      <w:r>
        <w:rPr>
          <w:rFonts w:hint="eastAsia" w:ascii="仿宋" w:hAnsi="仿宋" w:eastAsia="仿宋" w:cs="宋体"/>
          <w:sz w:val="32"/>
          <w:szCs w:val="32"/>
        </w:rPr>
        <w:t>万元。</w:t>
      </w:r>
      <w:bookmarkEnd w:id="29"/>
    </w:p>
    <w:p w14:paraId="5C4F0EBC">
      <w:pPr>
        <w:spacing w:line="560" w:lineRule="exact"/>
        <w:ind w:firstLine="570"/>
        <w:outlineLvl w:val="2"/>
        <w:rPr>
          <w:rFonts w:ascii="仿宋" w:hAnsi="仿宋" w:eastAsia="仿宋" w:cs="宋体"/>
          <w:sz w:val="32"/>
          <w:szCs w:val="32"/>
        </w:rPr>
      </w:pPr>
      <w:bookmarkStart w:id="30" w:name="_Toc28112"/>
      <w:r>
        <w:rPr>
          <w:rFonts w:hint="eastAsia" w:ascii="仿宋" w:hAnsi="仿宋" w:eastAsia="仿宋" w:cs="宋体"/>
          <w:b/>
          <w:sz w:val="32"/>
          <w:szCs w:val="32"/>
        </w:rPr>
        <w:t>2.2.2.2  确定评价内容。</w:t>
      </w:r>
      <w:r>
        <w:rPr>
          <w:rFonts w:hint="eastAsia" w:ascii="仿宋" w:hAnsi="仿宋" w:eastAsia="仿宋" w:cs="宋体"/>
          <w:sz w:val="32"/>
          <w:szCs w:val="32"/>
        </w:rPr>
        <w:t>从部门整体支出</w:t>
      </w:r>
      <w:r>
        <w:rPr>
          <w:rFonts w:hint="eastAsia" w:ascii="仿宋" w:hAnsi="仿宋" w:eastAsia="仿宋" w:cs="仿宋"/>
          <w:sz w:val="32"/>
          <w:szCs w:val="32"/>
        </w:rPr>
        <w:t>运行成本、管理效率、履职效能、社会效益、服务对象满意度</w:t>
      </w:r>
      <w:r>
        <w:rPr>
          <w:rFonts w:hint="eastAsia" w:ascii="仿宋" w:hAnsi="仿宋" w:eastAsia="仿宋" w:cs="宋体"/>
          <w:sz w:val="32"/>
          <w:szCs w:val="32"/>
        </w:rPr>
        <w:t>五个基本维度及其各维度细分评价指标及标准对项目实施绩效进行综合评价。</w:t>
      </w:r>
      <w:bookmarkEnd w:id="30"/>
    </w:p>
    <w:p w14:paraId="682450B4">
      <w:pPr>
        <w:spacing w:line="560" w:lineRule="exact"/>
        <w:ind w:firstLine="320" w:firstLineChars="100"/>
        <w:rPr>
          <w:rFonts w:ascii="仿宋" w:hAnsi="仿宋" w:eastAsia="仿宋" w:cs="楷体"/>
          <w:b/>
          <w:bCs/>
          <w:sz w:val="32"/>
          <w:szCs w:val="32"/>
        </w:rPr>
      </w:pPr>
      <w:r>
        <w:rPr>
          <w:rFonts w:hint="eastAsia" w:ascii="仿宋" w:hAnsi="仿宋" w:eastAsia="仿宋" w:cs="宋体"/>
          <w:sz w:val="32"/>
          <w:szCs w:val="32"/>
        </w:rPr>
        <w:t xml:space="preserve"> </w:t>
      </w:r>
      <w:r>
        <w:rPr>
          <w:rFonts w:hint="eastAsia" w:ascii="仿宋" w:hAnsi="仿宋" w:eastAsia="仿宋" w:cs="宋体"/>
          <w:b/>
          <w:sz w:val="32"/>
          <w:szCs w:val="32"/>
        </w:rPr>
        <w:t xml:space="preserve"> </w:t>
      </w:r>
      <w:bookmarkStart w:id="31" w:name="_Toc5023"/>
      <w:r>
        <w:rPr>
          <w:rFonts w:hint="eastAsia" w:ascii="仿宋" w:hAnsi="仿宋" w:eastAsia="仿宋" w:cs="宋体"/>
          <w:b/>
          <w:sz w:val="32"/>
          <w:szCs w:val="32"/>
        </w:rPr>
        <w:t>2.2.2.</w:t>
      </w:r>
      <w:r>
        <w:rPr>
          <w:rFonts w:hint="eastAsia" w:ascii="仿宋" w:hAnsi="仿宋" w:eastAsia="仿宋" w:cs="楷体"/>
          <w:b/>
          <w:sz w:val="32"/>
          <w:szCs w:val="32"/>
        </w:rPr>
        <w:t xml:space="preserve">3  </w:t>
      </w:r>
      <w:r>
        <w:rPr>
          <w:rFonts w:hint="eastAsia" w:ascii="仿宋" w:hAnsi="仿宋" w:eastAsia="仿宋" w:cs="楷体"/>
          <w:b/>
          <w:bCs/>
          <w:sz w:val="32"/>
          <w:szCs w:val="32"/>
        </w:rPr>
        <w:t>评价工作组织</w:t>
      </w:r>
      <w:bookmarkEnd w:id="31"/>
    </w:p>
    <w:p w14:paraId="476E84EA">
      <w:pPr>
        <w:spacing w:line="560" w:lineRule="exact"/>
        <w:ind w:firstLine="640" w:firstLineChars="200"/>
        <w:rPr>
          <w:rFonts w:ascii="仿宋" w:hAnsi="仿宋" w:eastAsia="仿宋" w:cs="宋体"/>
          <w:sz w:val="32"/>
          <w:szCs w:val="32"/>
        </w:rPr>
      </w:pPr>
      <w:bookmarkStart w:id="32" w:name="_Toc11605"/>
      <w:r>
        <w:rPr>
          <w:rFonts w:hint="eastAsia" w:ascii="仿宋" w:hAnsi="仿宋" w:eastAsia="仿宋" w:cs="宋体"/>
          <w:sz w:val="32"/>
          <w:szCs w:val="32"/>
        </w:rPr>
        <w:t>湖北恒信会计师事务有限公司受崇阳县财政局的委托，开展本次绩效评价工作，根据湖北省预算绩效管理《第三方机构参与预算绩效管理工作行为规范》的要求，积极组织开展评价工作。</w:t>
      </w:r>
    </w:p>
    <w:p w14:paraId="09269EA5">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a）成立项目绩效评价工作组（7月8日）。根据本次绩效评价工作的目标、任务及要求，由2名主评人吴思怡、夏金平主导，同时组织一定数量的工作人员参与协助工作。</w:t>
      </w:r>
    </w:p>
    <w:p w14:paraId="3F19B365">
      <w:pPr>
        <w:spacing w:line="560" w:lineRule="exact"/>
        <w:rPr>
          <w:rFonts w:ascii="仿宋" w:hAnsi="仿宋" w:eastAsia="仿宋" w:cs="宋体"/>
          <w:sz w:val="32"/>
          <w:szCs w:val="32"/>
        </w:rPr>
      </w:pPr>
      <w:r>
        <w:rPr>
          <w:rFonts w:hint="eastAsia" w:ascii="仿宋" w:hAnsi="仿宋" w:eastAsia="仿宋" w:cs="宋体"/>
          <w:sz w:val="32"/>
          <w:szCs w:val="32"/>
        </w:rPr>
        <w:t xml:space="preserve">    b）制定评价工作实施方案（7月9日-18日）。根据评价项目的性质特点及实施管理情况，结合评价工作的目的与要求，工作组集体讨论并制定评价工作实施方案，包括绩效评价指标体系框架的建立、评价方法、评价工作人员组成与时间安排、拟定评价信息资料的查阅与收集清单等，评价工作方案经崇阳县财政局审定后付诸实施。</w:t>
      </w:r>
    </w:p>
    <w:p w14:paraId="7D505D11">
      <w:pPr>
        <w:spacing w:line="560" w:lineRule="exact"/>
        <w:ind w:firstLine="640" w:firstLineChars="200"/>
        <w:rPr>
          <w:rFonts w:ascii="仿宋" w:hAnsi="仿宋" w:eastAsia="仿宋" w:cs="宋体"/>
          <w:sz w:val="32"/>
          <w:szCs w:val="32"/>
        </w:rPr>
      </w:pPr>
      <w:r>
        <w:rPr>
          <w:rFonts w:ascii="仿宋" w:hAnsi="仿宋" w:eastAsia="仿宋" w:cs="宋体"/>
          <w:sz w:val="32"/>
          <w:szCs w:val="32"/>
        </w:rPr>
        <w:t>c</w:t>
      </w:r>
      <w:r>
        <w:rPr>
          <w:rFonts w:hint="eastAsia" w:ascii="仿宋" w:hAnsi="仿宋" w:eastAsia="仿宋" w:cs="宋体"/>
          <w:sz w:val="32"/>
          <w:szCs w:val="32"/>
        </w:rPr>
        <w:t>）现场核查（7月19日-8月19日）。评价工作组进点项目单位与项目现场实地，查阅、收集并核查评价相关信息资料；核查项目资金的管理与使用，考核项目绩效目标的实现程度，并组织开展专题座谈、访谈、问卷调查等工作。</w:t>
      </w:r>
    </w:p>
    <w:p w14:paraId="410C0EE7">
      <w:pPr>
        <w:spacing w:line="560" w:lineRule="exact"/>
        <w:ind w:firstLine="640" w:firstLineChars="200"/>
        <w:rPr>
          <w:rFonts w:ascii="仿宋" w:hAnsi="仿宋" w:eastAsia="仿宋" w:cs="宋体"/>
          <w:sz w:val="32"/>
          <w:szCs w:val="32"/>
        </w:rPr>
      </w:pPr>
      <w:r>
        <w:rPr>
          <w:rFonts w:ascii="仿宋" w:hAnsi="仿宋" w:eastAsia="仿宋" w:cs="宋体"/>
          <w:sz w:val="32"/>
          <w:szCs w:val="32"/>
        </w:rPr>
        <w:t>d</w:t>
      </w:r>
      <w:r>
        <w:rPr>
          <w:rFonts w:hint="eastAsia" w:ascii="仿宋" w:hAnsi="仿宋" w:eastAsia="仿宋" w:cs="宋体"/>
          <w:sz w:val="32"/>
          <w:szCs w:val="32"/>
        </w:rPr>
        <w:t>）资料的整理与分析（8月20日-8月27日）。评价工作组对收集到的评价信息资料进行统计、整理与分析，形成评价的基础数据及文字资料。</w:t>
      </w:r>
    </w:p>
    <w:p w14:paraId="018A4E73">
      <w:pPr>
        <w:spacing w:line="560" w:lineRule="exact"/>
        <w:ind w:firstLine="640" w:firstLineChars="200"/>
        <w:rPr>
          <w:rFonts w:ascii="仿宋" w:hAnsi="仿宋" w:eastAsia="仿宋" w:cs="宋体"/>
          <w:sz w:val="32"/>
          <w:szCs w:val="32"/>
        </w:rPr>
      </w:pPr>
      <w:r>
        <w:rPr>
          <w:rFonts w:ascii="仿宋" w:hAnsi="仿宋" w:eastAsia="仿宋" w:cs="宋体"/>
          <w:sz w:val="32"/>
          <w:szCs w:val="32"/>
        </w:rPr>
        <w:t>e</w:t>
      </w:r>
      <w:r>
        <w:rPr>
          <w:rFonts w:hint="eastAsia" w:ascii="仿宋" w:hAnsi="仿宋" w:eastAsia="仿宋" w:cs="宋体"/>
          <w:sz w:val="32"/>
          <w:szCs w:val="32"/>
        </w:rPr>
        <w:t>）绩效报告初稿（8月28日-9月3日）。根据评价基础数据及信息资料统计、整理分析结果，对照项目绩效评价指标体系具体指标及评分标准进行综合分析评价及指标得分计算工作，作出初步评价结论，撰写并完成初步评价报告，提交崇阳县财政局和天城镇人民政府征询意见。</w:t>
      </w:r>
    </w:p>
    <w:p w14:paraId="453D387A">
      <w:pPr>
        <w:spacing w:line="560" w:lineRule="exact"/>
        <w:ind w:firstLine="640" w:firstLineChars="200"/>
        <w:jc w:val="left"/>
        <w:rPr>
          <w:rFonts w:ascii="仿宋" w:hAnsi="仿宋" w:eastAsia="仿宋" w:cs="宋体"/>
          <w:sz w:val="32"/>
          <w:szCs w:val="32"/>
        </w:rPr>
      </w:pPr>
      <w:r>
        <w:rPr>
          <w:rFonts w:ascii="仿宋" w:hAnsi="仿宋" w:eastAsia="仿宋" w:cs="宋体"/>
          <w:sz w:val="32"/>
          <w:szCs w:val="32"/>
        </w:rPr>
        <w:t>f</w:t>
      </w:r>
      <w:r>
        <w:rPr>
          <w:rFonts w:hint="eastAsia" w:ascii="仿宋" w:hAnsi="仿宋" w:eastAsia="仿宋" w:cs="宋体"/>
          <w:sz w:val="32"/>
          <w:szCs w:val="32"/>
        </w:rPr>
        <w:t>）撰写和提交绩效评价报告（9月4日-9月8日）。根据崇阳县财政局和天城镇人民政府的反馈意见，对初评报告进行必要的调整，经崇阳县财政局审定后提交评价报告终稿。</w:t>
      </w:r>
    </w:p>
    <w:p w14:paraId="31A649A7">
      <w:pPr>
        <w:spacing w:line="560" w:lineRule="exact"/>
        <w:ind w:firstLine="607" w:firstLineChars="189"/>
        <w:outlineLvl w:val="2"/>
        <w:rPr>
          <w:rFonts w:ascii="楷体" w:hAnsi="楷体" w:eastAsia="楷体" w:cs="楷体"/>
          <w:b/>
          <w:sz w:val="32"/>
          <w:szCs w:val="32"/>
        </w:rPr>
      </w:pPr>
      <w:bookmarkStart w:id="33" w:name="_Toc802"/>
      <w:r>
        <w:rPr>
          <w:rFonts w:hint="eastAsia" w:ascii="楷体" w:hAnsi="楷体" w:eastAsia="楷体" w:cs="楷体"/>
          <w:b/>
          <w:sz w:val="32"/>
          <w:szCs w:val="32"/>
        </w:rPr>
        <w:t>2.2.3  绩效评价框架</w:t>
      </w:r>
      <w:bookmarkEnd w:id="32"/>
      <w:bookmarkEnd w:id="33"/>
    </w:p>
    <w:p w14:paraId="2DB73AA9">
      <w:pPr>
        <w:spacing w:line="560" w:lineRule="exact"/>
        <w:outlineLvl w:val="3"/>
        <w:rPr>
          <w:rFonts w:ascii="仿宋" w:hAnsi="仿宋" w:eastAsia="仿宋" w:cs="楷体"/>
          <w:b/>
          <w:bCs/>
          <w:sz w:val="32"/>
          <w:szCs w:val="32"/>
        </w:rPr>
      </w:pPr>
      <w:r>
        <w:rPr>
          <w:rFonts w:hint="eastAsia" w:ascii="楷体" w:hAnsi="楷体" w:eastAsia="楷体" w:cs="楷体"/>
          <w:sz w:val="32"/>
          <w:szCs w:val="32"/>
        </w:rPr>
        <w:t xml:space="preserve">    </w:t>
      </w:r>
      <w:bookmarkStart w:id="34" w:name="_Toc22451"/>
      <w:r>
        <w:rPr>
          <w:rFonts w:hint="eastAsia" w:ascii="楷体" w:hAnsi="楷体" w:eastAsia="楷体" w:cs="楷体"/>
          <w:b/>
          <w:bCs/>
          <w:sz w:val="32"/>
          <w:szCs w:val="32"/>
        </w:rPr>
        <w:t>2.2.3.</w:t>
      </w:r>
      <w:r>
        <w:rPr>
          <w:rFonts w:hint="eastAsia" w:ascii="仿宋" w:hAnsi="仿宋" w:eastAsia="仿宋" w:cs="楷体"/>
          <w:b/>
          <w:bCs/>
          <w:sz w:val="32"/>
          <w:szCs w:val="32"/>
        </w:rPr>
        <w:t>1  评价原则</w:t>
      </w:r>
      <w:bookmarkEnd w:id="34"/>
    </w:p>
    <w:p w14:paraId="1CAEC7DA">
      <w:pPr>
        <w:spacing w:line="560" w:lineRule="exact"/>
        <w:rPr>
          <w:rFonts w:ascii="仿宋" w:hAnsi="仿宋" w:eastAsia="仿宋" w:cs="宋体"/>
          <w:sz w:val="32"/>
          <w:szCs w:val="32"/>
        </w:rPr>
      </w:pPr>
      <w:r>
        <w:rPr>
          <w:rFonts w:hint="eastAsia" w:ascii="楷体" w:hAnsi="楷体" w:eastAsia="楷体" w:cs="楷体"/>
          <w:b/>
          <w:bCs/>
          <w:sz w:val="32"/>
          <w:szCs w:val="32"/>
        </w:rPr>
        <w:t xml:space="preserve">  </w:t>
      </w:r>
      <w:r>
        <w:rPr>
          <w:rFonts w:hint="eastAsia" w:ascii="楷体" w:hAnsi="楷体" w:eastAsia="楷体" w:cs="楷体"/>
          <w:bCs/>
          <w:sz w:val="32"/>
          <w:szCs w:val="32"/>
        </w:rPr>
        <w:t xml:space="preserve"> </w:t>
      </w:r>
      <w:r>
        <w:rPr>
          <w:rFonts w:hint="eastAsia" w:ascii="仿宋" w:hAnsi="仿宋" w:eastAsia="仿宋" w:cs="楷体"/>
          <w:bCs/>
          <w:sz w:val="32"/>
          <w:szCs w:val="32"/>
        </w:rPr>
        <w:t xml:space="preserve"> a）客观公正、</w:t>
      </w:r>
      <w:r>
        <w:rPr>
          <w:rFonts w:hint="eastAsia" w:ascii="仿宋" w:hAnsi="仿宋" w:eastAsia="仿宋" w:cs="宋体"/>
          <w:sz w:val="32"/>
          <w:szCs w:val="32"/>
        </w:rPr>
        <w:t>科学规范原则。按照“公开、公平、公正”的要求，采用科学、规范的评价程序和操作方案，准确全面地衡量专项资金项目的绩效情况。</w:t>
      </w:r>
    </w:p>
    <w:p w14:paraId="38CAE9F4">
      <w:pPr>
        <w:spacing w:line="560" w:lineRule="exact"/>
        <w:ind w:firstLine="672" w:firstLineChars="210"/>
        <w:rPr>
          <w:rFonts w:ascii="仿宋" w:hAnsi="仿宋" w:eastAsia="仿宋"/>
          <w:color w:val="000000"/>
          <w:sz w:val="32"/>
          <w:szCs w:val="32"/>
        </w:rPr>
      </w:pPr>
      <w:r>
        <w:rPr>
          <w:rFonts w:ascii="仿宋" w:hAnsi="仿宋" w:eastAsia="仿宋"/>
          <w:color w:val="000000"/>
          <w:sz w:val="32"/>
          <w:szCs w:val="32"/>
        </w:rPr>
        <w:t>b</w:t>
      </w:r>
      <w:r>
        <w:rPr>
          <w:rFonts w:hint="eastAsia" w:ascii="仿宋" w:hAnsi="仿宋" w:eastAsia="仿宋"/>
          <w:color w:val="000000"/>
          <w:sz w:val="32"/>
          <w:szCs w:val="32"/>
        </w:rPr>
        <w:t>）目标导向原则。以专项资金的预期绩效目标为导向，重点评价专项资金目标的合理性、相关性、目标实现程度、相对于目标实现程度的效率及项目成效的可持续性。</w:t>
      </w:r>
    </w:p>
    <w:p w14:paraId="4E8BC44F">
      <w:pPr>
        <w:spacing w:line="560" w:lineRule="exact"/>
        <w:ind w:firstLine="672" w:firstLineChars="210"/>
        <w:rPr>
          <w:rFonts w:ascii="仿宋" w:hAnsi="仿宋" w:eastAsia="仿宋" w:cs="宋体"/>
          <w:sz w:val="32"/>
          <w:szCs w:val="32"/>
        </w:rPr>
      </w:pPr>
      <w:r>
        <w:rPr>
          <w:rFonts w:ascii="仿宋" w:hAnsi="仿宋" w:eastAsia="仿宋" w:cs="宋体"/>
          <w:sz w:val="32"/>
          <w:szCs w:val="32"/>
        </w:rPr>
        <w:t>c</w:t>
      </w:r>
      <w:r>
        <w:rPr>
          <w:rFonts w:hint="eastAsia" w:ascii="仿宋" w:hAnsi="仿宋" w:eastAsia="仿宋" w:cs="宋体"/>
          <w:sz w:val="32"/>
          <w:szCs w:val="32"/>
        </w:rPr>
        <w:t>）定性与定量相结合原则。以量化指标测定分值的基础上，结合项目实施效果和管理工作情况进行综合评价分析。</w:t>
      </w:r>
    </w:p>
    <w:p w14:paraId="78C6C215">
      <w:pPr>
        <w:spacing w:line="560" w:lineRule="exact"/>
        <w:outlineLvl w:val="3"/>
        <w:rPr>
          <w:rFonts w:ascii="仿宋" w:hAnsi="仿宋" w:eastAsia="仿宋" w:cs="楷体"/>
          <w:b/>
          <w:bCs/>
          <w:sz w:val="32"/>
          <w:szCs w:val="32"/>
        </w:rPr>
      </w:pPr>
      <w:r>
        <w:rPr>
          <w:rFonts w:hint="eastAsia" w:ascii="仿宋" w:hAnsi="仿宋" w:eastAsia="仿宋" w:cs="宋体"/>
          <w:sz w:val="32"/>
          <w:szCs w:val="32"/>
        </w:rPr>
        <w:t xml:space="preserve">    </w:t>
      </w:r>
      <w:r>
        <w:rPr>
          <w:rFonts w:hint="eastAsia" w:ascii="仿宋" w:hAnsi="仿宋" w:eastAsia="仿宋" w:cs="宋体"/>
          <w:b/>
          <w:sz w:val="32"/>
          <w:szCs w:val="32"/>
        </w:rPr>
        <w:t xml:space="preserve"> </w:t>
      </w:r>
      <w:bookmarkStart w:id="35" w:name="_Toc30538"/>
      <w:r>
        <w:rPr>
          <w:rFonts w:hint="eastAsia" w:ascii="仿宋" w:hAnsi="仿宋" w:eastAsia="仿宋" w:cs="宋体"/>
          <w:b/>
          <w:sz w:val="32"/>
          <w:szCs w:val="32"/>
        </w:rPr>
        <w:t>2.2.3.</w:t>
      </w:r>
      <w:r>
        <w:rPr>
          <w:rFonts w:hint="eastAsia" w:ascii="仿宋" w:hAnsi="仿宋" w:eastAsia="仿宋" w:cs="楷体"/>
          <w:b/>
          <w:bCs/>
          <w:sz w:val="32"/>
          <w:szCs w:val="32"/>
        </w:rPr>
        <w:t>2  评价依据</w:t>
      </w:r>
      <w:bookmarkEnd w:id="35"/>
    </w:p>
    <w:p w14:paraId="05B4C07A">
      <w:pPr>
        <w:spacing w:line="560" w:lineRule="exact"/>
        <w:ind w:firstLine="555"/>
        <w:rPr>
          <w:rFonts w:ascii="仿宋" w:hAnsi="仿宋" w:eastAsia="仿宋" w:cs="宋体"/>
          <w:sz w:val="32"/>
          <w:szCs w:val="32"/>
        </w:rPr>
      </w:pPr>
      <w:r>
        <w:rPr>
          <w:rFonts w:hint="eastAsia" w:ascii="仿宋" w:hAnsi="仿宋" w:eastAsia="仿宋" w:cs="宋体"/>
          <w:sz w:val="32"/>
          <w:szCs w:val="32"/>
        </w:rPr>
        <w:t>《湖北省财政厅关于印发全面实施预算绩效管理系列制度的通知》（鄂财绩发〔20</w:t>
      </w:r>
      <w:r>
        <w:rPr>
          <w:rFonts w:ascii="仿宋" w:hAnsi="仿宋" w:eastAsia="仿宋" w:cs="宋体"/>
          <w:sz w:val="32"/>
          <w:szCs w:val="32"/>
        </w:rPr>
        <w:t>20</w:t>
      </w:r>
      <w:r>
        <w:rPr>
          <w:rFonts w:hint="eastAsia" w:ascii="仿宋" w:hAnsi="仿宋" w:eastAsia="仿宋" w:cs="宋体"/>
          <w:sz w:val="32"/>
          <w:szCs w:val="32"/>
        </w:rPr>
        <w:t>〕</w:t>
      </w:r>
      <w:r>
        <w:rPr>
          <w:rFonts w:ascii="仿宋" w:hAnsi="仿宋" w:eastAsia="仿宋" w:cs="宋体"/>
          <w:sz w:val="32"/>
          <w:szCs w:val="32"/>
        </w:rPr>
        <w:t>3</w:t>
      </w:r>
      <w:r>
        <w:rPr>
          <w:rFonts w:hint="eastAsia" w:ascii="仿宋" w:hAnsi="仿宋" w:eastAsia="仿宋" w:cs="宋体"/>
          <w:sz w:val="32"/>
          <w:szCs w:val="32"/>
        </w:rPr>
        <w:t>号）；</w:t>
      </w:r>
    </w:p>
    <w:p w14:paraId="50E38428">
      <w:pPr>
        <w:spacing w:line="560" w:lineRule="exact"/>
        <w:ind w:firstLine="555"/>
        <w:rPr>
          <w:rFonts w:ascii="仿宋" w:hAnsi="仿宋" w:eastAsia="仿宋" w:cs="宋体"/>
          <w:sz w:val="32"/>
          <w:szCs w:val="32"/>
        </w:rPr>
      </w:pPr>
      <w:r>
        <w:rPr>
          <w:rFonts w:hint="eastAsia" w:ascii="仿宋" w:hAnsi="仿宋" w:eastAsia="仿宋" w:cs="宋体"/>
          <w:sz w:val="32"/>
          <w:szCs w:val="32"/>
        </w:rPr>
        <w:t>《崇阳县人民政府办公室关于印发崇阳县全面实施预算绩效管理实施方案的通知》（崇政办函〔20</w:t>
      </w:r>
      <w:r>
        <w:rPr>
          <w:rFonts w:ascii="仿宋" w:hAnsi="仿宋" w:eastAsia="仿宋" w:cs="宋体"/>
          <w:sz w:val="32"/>
          <w:szCs w:val="32"/>
        </w:rPr>
        <w:t>20</w:t>
      </w:r>
      <w:r>
        <w:rPr>
          <w:rFonts w:hint="eastAsia" w:ascii="仿宋" w:hAnsi="仿宋" w:eastAsia="仿宋" w:cs="宋体"/>
          <w:sz w:val="32"/>
          <w:szCs w:val="32"/>
        </w:rPr>
        <w:t>〕</w:t>
      </w:r>
      <w:r>
        <w:rPr>
          <w:rFonts w:ascii="仿宋" w:hAnsi="仿宋" w:eastAsia="仿宋" w:cs="宋体"/>
          <w:sz w:val="32"/>
          <w:szCs w:val="32"/>
        </w:rPr>
        <w:t>33</w:t>
      </w:r>
      <w:r>
        <w:rPr>
          <w:rFonts w:hint="eastAsia" w:ascii="仿宋" w:hAnsi="仿宋" w:eastAsia="仿宋" w:cs="宋体"/>
          <w:sz w:val="32"/>
          <w:szCs w:val="32"/>
        </w:rPr>
        <w:t>号）；</w:t>
      </w:r>
    </w:p>
    <w:p w14:paraId="386D4D44">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资金使用单位项目立项审批及过程文件；评价工作人员取得的其他评价相关资料等。</w:t>
      </w:r>
    </w:p>
    <w:p w14:paraId="29138F6B">
      <w:pPr>
        <w:spacing w:line="560" w:lineRule="exact"/>
        <w:ind w:firstLine="643" w:firstLineChars="200"/>
        <w:rPr>
          <w:rFonts w:ascii="仿宋" w:hAnsi="仿宋" w:eastAsia="仿宋" w:cs="楷体"/>
          <w:b/>
          <w:sz w:val="32"/>
          <w:szCs w:val="32"/>
        </w:rPr>
      </w:pPr>
      <w:bookmarkStart w:id="36" w:name="_Toc27199"/>
      <w:r>
        <w:rPr>
          <w:rFonts w:hint="eastAsia" w:ascii="仿宋" w:hAnsi="仿宋" w:eastAsia="仿宋" w:cs="楷体"/>
          <w:b/>
          <w:sz w:val="32"/>
          <w:szCs w:val="32"/>
        </w:rPr>
        <w:t>2.2.3.</w:t>
      </w:r>
      <w:r>
        <w:rPr>
          <w:rFonts w:ascii="仿宋" w:hAnsi="仿宋" w:eastAsia="仿宋" w:cs="楷体"/>
          <w:b/>
          <w:sz w:val="32"/>
          <w:szCs w:val="32"/>
        </w:rPr>
        <w:t>3</w:t>
      </w:r>
      <w:r>
        <w:rPr>
          <w:rFonts w:hint="eastAsia" w:ascii="仿宋" w:hAnsi="仿宋" w:eastAsia="仿宋" w:cs="楷体"/>
          <w:b/>
          <w:sz w:val="32"/>
          <w:szCs w:val="32"/>
        </w:rPr>
        <w:t xml:space="preserve">  </w:t>
      </w:r>
      <w:bookmarkEnd w:id="36"/>
      <w:r>
        <w:rPr>
          <w:rFonts w:hint="eastAsia" w:ascii="仿宋" w:hAnsi="仿宋" w:eastAsia="仿宋" w:cs="楷体"/>
          <w:b/>
          <w:sz w:val="32"/>
          <w:szCs w:val="32"/>
        </w:rPr>
        <w:t>评价指标体系</w:t>
      </w:r>
    </w:p>
    <w:p w14:paraId="5855742F">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从部门整体支出</w:t>
      </w:r>
      <w:r>
        <w:rPr>
          <w:rFonts w:hint="eastAsia" w:ascii="仿宋" w:hAnsi="仿宋" w:eastAsia="仿宋" w:cs="仿宋"/>
          <w:sz w:val="32"/>
          <w:szCs w:val="32"/>
        </w:rPr>
        <w:t>运行成本、管理效率、履职效能、履职效益</w:t>
      </w:r>
      <w:r>
        <w:rPr>
          <w:rFonts w:hint="eastAsia" w:ascii="仿宋" w:hAnsi="仿宋" w:eastAsia="仿宋" w:cs="宋体"/>
          <w:sz w:val="32"/>
          <w:szCs w:val="32"/>
        </w:rPr>
        <w:t>四个基本维度及具体指标，制定评分细则，进行综合评价评分。</w:t>
      </w:r>
    </w:p>
    <w:p w14:paraId="1C515C00">
      <w:pPr>
        <w:spacing w:line="560" w:lineRule="exact"/>
        <w:ind w:firstLine="643" w:firstLineChars="200"/>
        <w:rPr>
          <w:rFonts w:ascii="仿宋" w:hAnsi="仿宋" w:eastAsia="仿宋" w:cs="楷体"/>
          <w:sz w:val="32"/>
          <w:szCs w:val="32"/>
        </w:rPr>
      </w:pPr>
      <w:r>
        <w:rPr>
          <w:rFonts w:hint="eastAsia" w:ascii="仿宋" w:hAnsi="仿宋" w:eastAsia="仿宋" w:cs="楷体"/>
          <w:b/>
          <w:sz w:val="32"/>
          <w:szCs w:val="32"/>
        </w:rPr>
        <w:t xml:space="preserve">2.2.3.4 </w:t>
      </w:r>
      <w:bookmarkStart w:id="37" w:name="_Toc11158"/>
      <w:r>
        <w:rPr>
          <w:rFonts w:hint="eastAsia" w:ascii="仿宋" w:hAnsi="仿宋" w:eastAsia="仿宋" w:cs="楷体"/>
          <w:b/>
          <w:bCs/>
          <w:sz w:val="32"/>
          <w:szCs w:val="32"/>
        </w:rPr>
        <w:t>评价方法</w:t>
      </w:r>
      <w:bookmarkEnd w:id="37"/>
    </w:p>
    <w:p w14:paraId="7EDAB51B">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评价过程中我们交叉采用下列方法：</w:t>
      </w:r>
    </w:p>
    <w:p w14:paraId="0F99B1BA">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a）目标比较法。指通过对项目的实际产出与年度预定目标的比较，分析完成目标或未完成目标的原因，从而评价绩效状况的方法。</w:t>
      </w:r>
    </w:p>
    <w:p w14:paraId="2D5CAFC3">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b）统计分析法。对各具体项目单位量性指标采用统计汇总来计算项目目标实际完成结果，评价项目绩效目标实现程度。</w:t>
      </w:r>
    </w:p>
    <w:p w14:paraId="15AEECCB">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c）公众评判法。针对部分支出难以直接用量化的指标计量其支出效益的，通过项目服务对象满意度调查等方式进行评判。</w:t>
      </w:r>
    </w:p>
    <w:p w14:paraId="3A324782">
      <w:pPr>
        <w:spacing w:line="560" w:lineRule="exact"/>
        <w:ind w:firstLine="570"/>
        <w:outlineLvl w:val="3"/>
        <w:rPr>
          <w:rFonts w:ascii="仿宋" w:hAnsi="仿宋" w:eastAsia="仿宋" w:cs="楷体"/>
          <w:b/>
          <w:sz w:val="32"/>
          <w:szCs w:val="32"/>
        </w:rPr>
      </w:pPr>
      <w:bookmarkStart w:id="38" w:name="_Toc26216"/>
      <w:r>
        <w:rPr>
          <w:rFonts w:hint="eastAsia" w:ascii="仿宋" w:hAnsi="仿宋" w:eastAsia="仿宋" w:cs="楷体"/>
          <w:b/>
          <w:sz w:val="32"/>
          <w:szCs w:val="32"/>
        </w:rPr>
        <w:t>2.2.3.5  评价结果</w:t>
      </w:r>
      <w:bookmarkEnd w:id="38"/>
    </w:p>
    <w:p w14:paraId="3D7CF160">
      <w:pPr>
        <w:spacing w:line="560" w:lineRule="exact"/>
        <w:ind w:firstLine="560"/>
        <w:rPr>
          <w:rFonts w:ascii="仿宋" w:hAnsi="仿宋" w:eastAsia="仿宋" w:cs="宋体"/>
          <w:sz w:val="32"/>
          <w:szCs w:val="32"/>
        </w:rPr>
      </w:pPr>
      <w:r>
        <w:rPr>
          <w:rFonts w:hint="eastAsia" w:ascii="仿宋" w:hAnsi="仿宋" w:eastAsia="仿宋" w:cs="宋体"/>
          <w:sz w:val="32"/>
          <w:szCs w:val="32"/>
        </w:rPr>
        <w:t>设计评价考核总分1</w:t>
      </w:r>
      <w:r>
        <w:rPr>
          <w:rFonts w:ascii="仿宋" w:hAnsi="仿宋" w:eastAsia="仿宋" w:cs="宋体"/>
          <w:sz w:val="32"/>
          <w:szCs w:val="32"/>
        </w:rPr>
        <w:t>00</w:t>
      </w:r>
      <w:r>
        <w:rPr>
          <w:rFonts w:hint="eastAsia" w:ascii="仿宋" w:hAnsi="仿宋" w:eastAsia="仿宋" w:cs="宋体"/>
          <w:sz w:val="32"/>
          <w:szCs w:val="32"/>
        </w:rPr>
        <w:t>分计，其中</w:t>
      </w:r>
      <w:r>
        <w:rPr>
          <w:rFonts w:hint="eastAsia" w:ascii="仿宋" w:hAnsi="仿宋" w:eastAsia="仿宋" w:cs="仿宋"/>
          <w:sz w:val="32"/>
          <w:szCs w:val="32"/>
        </w:rPr>
        <w:t>运行成本</w:t>
      </w:r>
      <w:r>
        <w:rPr>
          <w:rFonts w:hint="eastAsia" w:ascii="仿宋" w:hAnsi="仿宋" w:eastAsia="仿宋" w:cs="宋体"/>
          <w:sz w:val="32"/>
          <w:szCs w:val="32"/>
        </w:rPr>
        <w:t>20分、</w:t>
      </w:r>
      <w:r>
        <w:rPr>
          <w:rFonts w:hint="eastAsia" w:ascii="仿宋" w:hAnsi="仿宋" w:eastAsia="仿宋" w:cs="仿宋"/>
          <w:sz w:val="32"/>
          <w:szCs w:val="32"/>
        </w:rPr>
        <w:t>管理效率</w:t>
      </w:r>
      <w:r>
        <w:rPr>
          <w:rFonts w:hint="eastAsia" w:ascii="仿宋" w:hAnsi="仿宋" w:eastAsia="仿宋" w:cs="宋体"/>
          <w:sz w:val="32"/>
          <w:szCs w:val="32"/>
        </w:rPr>
        <w:t>30分、</w:t>
      </w:r>
      <w:r>
        <w:rPr>
          <w:rFonts w:hint="eastAsia" w:ascii="仿宋" w:hAnsi="仿宋" w:eastAsia="仿宋" w:cs="仿宋"/>
          <w:sz w:val="32"/>
          <w:szCs w:val="32"/>
        </w:rPr>
        <w:t>履职效能</w:t>
      </w:r>
      <w:r>
        <w:rPr>
          <w:rFonts w:hint="eastAsia" w:ascii="仿宋" w:hAnsi="仿宋" w:eastAsia="仿宋" w:cs="宋体"/>
          <w:sz w:val="32"/>
          <w:szCs w:val="32"/>
        </w:rPr>
        <w:t>20分、</w:t>
      </w:r>
      <w:r>
        <w:rPr>
          <w:rFonts w:hint="eastAsia" w:ascii="仿宋" w:hAnsi="仿宋" w:eastAsia="仿宋" w:cs="仿宋"/>
          <w:sz w:val="32"/>
          <w:szCs w:val="32"/>
        </w:rPr>
        <w:t>社会效益</w:t>
      </w:r>
      <w:r>
        <w:rPr>
          <w:rFonts w:hint="eastAsia" w:ascii="仿宋" w:hAnsi="仿宋" w:eastAsia="仿宋" w:cs="宋体"/>
          <w:sz w:val="32"/>
          <w:szCs w:val="32"/>
        </w:rPr>
        <w:t>20分、服务对象满意度10分。依据湖北省省级预算绩效评价管理暂行办法，将评分结果级别类型分为如下档次：</w:t>
      </w:r>
    </w:p>
    <w:tbl>
      <w:tblPr>
        <w:tblStyle w:val="10"/>
        <w:tblW w:w="8379" w:type="dxa"/>
        <w:tblInd w:w="93" w:type="dxa"/>
        <w:tblLayout w:type="fixed"/>
        <w:tblCellMar>
          <w:top w:w="0" w:type="dxa"/>
          <w:left w:w="108" w:type="dxa"/>
          <w:bottom w:w="0" w:type="dxa"/>
          <w:right w:w="108" w:type="dxa"/>
        </w:tblCellMar>
      </w:tblPr>
      <w:tblGrid>
        <w:gridCol w:w="4603"/>
        <w:gridCol w:w="3776"/>
      </w:tblGrid>
      <w:tr w14:paraId="55C514E8">
        <w:tblPrEx>
          <w:tblCellMar>
            <w:top w:w="0" w:type="dxa"/>
            <w:left w:w="108" w:type="dxa"/>
            <w:bottom w:w="0" w:type="dxa"/>
            <w:right w:w="108" w:type="dxa"/>
          </w:tblCellMar>
        </w:tblPrEx>
        <w:trPr>
          <w:trHeight w:val="886" w:hRule="atLeast"/>
        </w:trPr>
        <w:tc>
          <w:tcPr>
            <w:tcW w:w="8379" w:type="dxa"/>
            <w:gridSpan w:val="2"/>
            <w:tcBorders>
              <w:top w:val="nil"/>
              <w:left w:val="nil"/>
              <w:bottom w:val="single" w:color="auto" w:sz="4" w:space="0"/>
              <w:right w:val="nil"/>
            </w:tcBorders>
            <w:vAlign w:val="center"/>
          </w:tcPr>
          <w:p w14:paraId="32D8C471">
            <w:pPr>
              <w:widowControl/>
              <w:jc w:val="center"/>
              <w:rPr>
                <w:rFonts w:ascii="宋体" w:hAnsi="宋体" w:cs="宋体"/>
                <w:color w:val="000000"/>
                <w:kern w:val="0"/>
                <w:sz w:val="30"/>
                <w:szCs w:val="30"/>
              </w:rPr>
            </w:pPr>
            <w:r>
              <w:rPr>
                <w:rFonts w:hint="eastAsia" w:ascii="宋体" w:hAnsi="宋体" w:cs="宋体"/>
                <w:color w:val="000000"/>
                <w:kern w:val="0"/>
                <w:sz w:val="30"/>
                <w:szCs w:val="30"/>
              </w:rPr>
              <w:t>评分结果级别评定对照表</w:t>
            </w:r>
          </w:p>
        </w:tc>
      </w:tr>
      <w:tr w14:paraId="580F8909">
        <w:tblPrEx>
          <w:tblCellMar>
            <w:top w:w="0" w:type="dxa"/>
            <w:left w:w="108" w:type="dxa"/>
            <w:bottom w:w="0" w:type="dxa"/>
            <w:right w:w="108" w:type="dxa"/>
          </w:tblCellMar>
        </w:tblPrEx>
        <w:trPr>
          <w:trHeight w:val="553" w:hRule="atLeast"/>
        </w:trPr>
        <w:tc>
          <w:tcPr>
            <w:tcW w:w="4603" w:type="dxa"/>
            <w:tcBorders>
              <w:top w:val="nil"/>
              <w:left w:val="single" w:color="auto" w:sz="4" w:space="0"/>
              <w:bottom w:val="single" w:color="auto" w:sz="4" w:space="0"/>
              <w:right w:val="single" w:color="auto" w:sz="4" w:space="0"/>
            </w:tcBorders>
            <w:vAlign w:val="center"/>
          </w:tcPr>
          <w:p w14:paraId="06E62AAC">
            <w:pPr>
              <w:widowControl/>
              <w:jc w:val="center"/>
              <w:rPr>
                <w:rFonts w:ascii="宋体" w:hAnsi="宋体" w:cs="宋体"/>
                <w:b/>
                <w:color w:val="000000"/>
                <w:kern w:val="0"/>
                <w:sz w:val="24"/>
              </w:rPr>
            </w:pPr>
            <w:r>
              <w:rPr>
                <w:rFonts w:hint="eastAsia" w:ascii="宋体" w:hAnsi="宋体" w:cs="宋体"/>
                <w:b/>
                <w:color w:val="000000"/>
                <w:kern w:val="0"/>
                <w:sz w:val="24"/>
              </w:rPr>
              <w:t>评分计分结果</w:t>
            </w:r>
          </w:p>
        </w:tc>
        <w:tc>
          <w:tcPr>
            <w:tcW w:w="3776" w:type="dxa"/>
            <w:tcBorders>
              <w:top w:val="nil"/>
              <w:left w:val="nil"/>
              <w:bottom w:val="single" w:color="auto" w:sz="4" w:space="0"/>
              <w:right w:val="single" w:color="auto" w:sz="4" w:space="0"/>
            </w:tcBorders>
            <w:vAlign w:val="center"/>
          </w:tcPr>
          <w:p w14:paraId="4FAFCE4C">
            <w:pPr>
              <w:widowControl/>
              <w:jc w:val="center"/>
              <w:rPr>
                <w:rFonts w:ascii="宋体" w:hAnsi="宋体" w:cs="宋体"/>
                <w:b/>
                <w:color w:val="000000"/>
                <w:kern w:val="0"/>
                <w:sz w:val="24"/>
              </w:rPr>
            </w:pPr>
            <w:r>
              <w:rPr>
                <w:rFonts w:hint="eastAsia" w:ascii="宋体" w:hAnsi="宋体" w:cs="宋体"/>
                <w:b/>
                <w:color w:val="000000"/>
                <w:kern w:val="0"/>
                <w:sz w:val="24"/>
              </w:rPr>
              <w:t>评价结果级别</w:t>
            </w:r>
          </w:p>
        </w:tc>
      </w:tr>
      <w:tr w14:paraId="1D3FC0E5">
        <w:tblPrEx>
          <w:tblCellMar>
            <w:top w:w="0" w:type="dxa"/>
            <w:left w:w="108" w:type="dxa"/>
            <w:bottom w:w="0" w:type="dxa"/>
            <w:right w:w="108" w:type="dxa"/>
          </w:tblCellMar>
        </w:tblPrEx>
        <w:trPr>
          <w:trHeight w:val="433" w:hRule="atLeast"/>
        </w:trPr>
        <w:tc>
          <w:tcPr>
            <w:tcW w:w="4603" w:type="dxa"/>
            <w:tcBorders>
              <w:top w:val="nil"/>
              <w:left w:val="single" w:color="auto" w:sz="4" w:space="0"/>
              <w:bottom w:val="single" w:color="auto" w:sz="4" w:space="0"/>
              <w:right w:val="single" w:color="auto" w:sz="4" w:space="0"/>
            </w:tcBorders>
            <w:vAlign w:val="center"/>
          </w:tcPr>
          <w:p w14:paraId="799D4CB0">
            <w:pPr>
              <w:widowControl/>
              <w:jc w:val="center"/>
              <w:rPr>
                <w:rFonts w:ascii="宋体" w:hAnsi="宋体" w:cs="宋体"/>
                <w:color w:val="000000"/>
                <w:kern w:val="0"/>
                <w:sz w:val="24"/>
              </w:rPr>
            </w:pPr>
            <w:r>
              <w:rPr>
                <w:rFonts w:hint="eastAsia" w:ascii="宋体" w:hAnsi="宋体" w:cs="宋体"/>
                <w:color w:val="000000"/>
                <w:kern w:val="0"/>
                <w:sz w:val="24"/>
              </w:rPr>
              <w:t>90-100分（含90分）</w:t>
            </w:r>
          </w:p>
        </w:tc>
        <w:tc>
          <w:tcPr>
            <w:tcW w:w="3776" w:type="dxa"/>
            <w:tcBorders>
              <w:top w:val="nil"/>
              <w:left w:val="nil"/>
              <w:bottom w:val="single" w:color="auto" w:sz="4" w:space="0"/>
              <w:right w:val="single" w:color="auto" w:sz="4" w:space="0"/>
            </w:tcBorders>
            <w:vAlign w:val="center"/>
          </w:tcPr>
          <w:p w14:paraId="6EC8357E">
            <w:pPr>
              <w:widowControl/>
              <w:jc w:val="center"/>
              <w:rPr>
                <w:rFonts w:ascii="宋体" w:hAnsi="宋体" w:cs="宋体"/>
                <w:color w:val="000000"/>
                <w:kern w:val="0"/>
                <w:sz w:val="24"/>
              </w:rPr>
            </w:pPr>
            <w:r>
              <w:rPr>
                <w:rFonts w:hint="eastAsia" w:ascii="宋体" w:hAnsi="宋体" w:cs="宋体"/>
                <w:color w:val="000000"/>
                <w:kern w:val="0"/>
                <w:sz w:val="24"/>
              </w:rPr>
              <w:t>优</w:t>
            </w:r>
          </w:p>
        </w:tc>
      </w:tr>
      <w:tr w14:paraId="5799F411">
        <w:tblPrEx>
          <w:tblCellMar>
            <w:top w:w="0" w:type="dxa"/>
            <w:left w:w="108" w:type="dxa"/>
            <w:bottom w:w="0" w:type="dxa"/>
            <w:right w:w="108" w:type="dxa"/>
          </w:tblCellMar>
        </w:tblPrEx>
        <w:trPr>
          <w:trHeight w:val="421" w:hRule="atLeast"/>
        </w:trPr>
        <w:tc>
          <w:tcPr>
            <w:tcW w:w="4603" w:type="dxa"/>
            <w:tcBorders>
              <w:top w:val="nil"/>
              <w:left w:val="single" w:color="auto" w:sz="4" w:space="0"/>
              <w:bottom w:val="single" w:color="auto" w:sz="4" w:space="0"/>
              <w:right w:val="single" w:color="auto" w:sz="4" w:space="0"/>
            </w:tcBorders>
            <w:vAlign w:val="center"/>
          </w:tcPr>
          <w:p w14:paraId="72BD7DAE">
            <w:pPr>
              <w:widowControl/>
              <w:jc w:val="center"/>
              <w:rPr>
                <w:rFonts w:ascii="宋体" w:hAnsi="宋体" w:cs="宋体"/>
                <w:color w:val="000000"/>
                <w:kern w:val="0"/>
                <w:sz w:val="24"/>
              </w:rPr>
            </w:pPr>
            <w:r>
              <w:rPr>
                <w:rFonts w:hint="eastAsia" w:ascii="宋体" w:hAnsi="宋体" w:cs="宋体"/>
                <w:color w:val="000000"/>
                <w:kern w:val="0"/>
                <w:sz w:val="24"/>
              </w:rPr>
              <w:t>80-90分（含80分）</w:t>
            </w:r>
          </w:p>
        </w:tc>
        <w:tc>
          <w:tcPr>
            <w:tcW w:w="3776" w:type="dxa"/>
            <w:tcBorders>
              <w:top w:val="nil"/>
              <w:left w:val="nil"/>
              <w:bottom w:val="single" w:color="auto" w:sz="4" w:space="0"/>
              <w:right w:val="single" w:color="auto" w:sz="4" w:space="0"/>
            </w:tcBorders>
            <w:vAlign w:val="center"/>
          </w:tcPr>
          <w:p w14:paraId="008A5606">
            <w:pPr>
              <w:widowControl/>
              <w:jc w:val="center"/>
              <w:rPr>
                <w:rFonts w:ascii="宋体" w:hAnsi="宋体" w:cs="宋体"/>
                <w:color w:val="000000"/>
                <w:kern w:val="0"/>
                <w:sz w:val="24"/>
              </w:rPr>
            </w:pPr>
            <w:r>
              <w:rPr>
                <w:rFonts w:hint="eastAsia" w:ascii="宋体" w:hAnsi="宋体" w:cs="宋体"/>
                <w:color w:val="000000"/>
                <w:kern w:val="0"/>
                <w:sz w:val="24"/>
              </w:rPr>
              <w:t>良</w:t>
            </w:r>
          </w:p>
        </w:tc>
      </w:tr>
      <w:tr w14:paraId="6ED1EBE0">
        <w:tblPrEx>
          <w:tblCellMar>
            <w:top w:w="0" w:type="dxa"/>
            <w:left w:w="108" w:type="dxa"/>
            <w:bottom w:w="0" w:type="dxa"/>
            <w:right w:w="108" w:type="dxa"/>
          </w:tblCellMar>
        </w:tblPrEx>
        <w:trPr>
          <w:trHeight w:val="421" w:hRule="atLeast"/>
        </w:trPr>
        <w:tc>
          <w:tcPr>
            <w:tcW w:w="4603" w:type="dxa"/>
            <w:tcBorders>
              <w:top w:val="nil"/>
              <w:left w:val="single" w:color="auto" w:sz="4" w:space="0"/>
              <w:bottom w:val="single" w:color="auto" w:sz="4" w:space="0"/>
              <w:right w:val="single" w:color="auto" w:sz="4" w:space="0"/>
            </w:tcBorders>
            <w:vAlign w:val="center"/>
          </w:tcPr>
          <w:p w14:paraId="68BB896F">
            <w:pPr>
              <w:widowControl/>
              <w:jc w:val="center"/>
              <w:rPr>
                <w:rFonts w:ascii="宋体" w:hAnsi="宋体" w:cs="宋体"/>
                <w:color w:val="000000"/>
                <w:kern w:val="0"/>
                <w:sz w:val="24"/>
              </w:rPr>
            </w:pPr>
            <w:r>
              <w:rPr>
                <w:rFonts w:hint="eastAsia" w:ascii="宋体" w:hAnsi="宋体" w:cs="宋体"/>
                <w:color w:val="000000"/>
                <w:kern w:val="0"/>
                <w:sz w:val="24"/>
              </w:rPr>
              <w:t>60-80分（含60分）</w:t>
            </w:r>
          </w:p>
        </w:tc>
        <w:tc>
          <w:tcPr>
            <w:tcW w:w="3776" w:type="dxa"/>
            <w:tcBorders>
              <w:top w:val="nil"/>
              <w:left w:val="nil"/>
              <w:bottom w:val="single" w:color="auto" w:sz="4" w:space="0"/>
              <w:right w:val="single" w:color="auto" w:sz="4" w:space="0"/>
            </w:tcBorders>
            <w:vAlign w:val="center"/>
          </w:tcPr>
          <w:p w14:paraId="1C202B12">
            <w:pPr>
              <w:widowControl/>
              <w:jc w:val="center"/>
              <w:rPr>
                <w:rFonts w:ascii="宋体" w:hAnsi="宋体" w:cs="宋体"/>
                <w:color w:val="000000"/>
                <w:kern w:val="0"/>
                <w:sz w:val="24"/>
              </w:rPr>
            </w:pPr>
            <w:r>
              <w:rPr>
                <w:rFonts w:hint="eastAsia" w:ascii="宋体" w:hAnsi="宋体" w:cs="宋体"/>
                <w:color w:val="000000"/>
                <w:kern w:val="0"/>
                <w:sz w:val="24"/>
              </w:rPr>
              <w:t>中</w:t>
            </w:r>
          </w:p>
        </w:tc>
      </w:tr>
      <w:tr w14:paraId="029B3EDC">
        <w:tblPrEx>
          <w:tblCellMar>
            <w:top w:w="0" w:type="dxa"/>
            <w:left w:w="108" w:type="dxa"/>
            <w:bottom w:w="0" w:type="dxa"/>
            <w:right w:w="108" w:type="dxa"/>
          </w:tblCellMar>
        </w:tblPrEx>
        <w:trPr>
          <w:trHeight w:val="556" w:hRule="atLeast"/>
        </w:trPr>
        <w:tc>
          <w:tcPr>
            <w:tcW w:w="4603" w:type="dxa"/>
            <w:tcBorders>
              <w:top w:val="nil"/>
              <w:left w:val="single" w:color="auto" w:sz="4" w:space="0"/>
              <w:bottom w:val="single" w:color="auto" w:sz="4" w:space="0"/>
              <w:right w:val="single" w:color="auto" w:sz="4" w:space="0"/>
            </w:tcBorders>
            <w:vAlign w:val="center"/>
          </w:tcPr>
          <w:p w14:paraId="26BE1D40">
            <w:pPr>
              <w:widowControl/>
              <w:jc w:val="center"/>
              <w:rPr>
                <w:rFonts w:ascii="宋体" w:hAnsi="宋体" w:cs="宋体"/>
                <w:color w:val="000000"/>
                <w:kern w:val="0"/>
                <w:sz w:val="24"/>
              </w:rPr>
            </w:pPr>
            <w:r>
              <w:rPr>
                <w:rFonts w:hint="eastAsia" w:ascii="宋体" w:hAnsi="宋体" w:cs="宋体"/>
                <w:color w:val="000000"/>
                <w:kern w:val="0"/>
                <w:sz w:val="24"/>
              </w:rPr>
              <w:t>60以下</w:t>
            </w:r>
          </w:p>
        </w:tc>
        <w:tc>
          <w:tcPr>
            <w:tcW w:w="3776" w:type="dxa"/>
            <w:tcBorders>
              <w:top w:val="nil"/>
              <w:left w:val="nil"/>
              <w:bottom w:val="single" w:color="auto" w:sz="4" w:space="0"/>
              <w:right w:val="single" w:color="auto" w:sz="4" w:space="0"/>
            </w:tcBorders>
            <w:vAlign w:val="center"/>
          </w:tcPr>
          <w:p w14:paraId="0F01D04C">
            <w:pPr>
              <w:widowControl/>
              <w:jc w:val="center"/>
              <w:rPr>
                <w:rFonts w:ascii="宋体" w:hAnsi="宋体" w:cs="宋体"/>
                <w:color w:val="000000"/>
                <w:kern w:val="0"/>
                <w:sz w:val="24"/>
              </w:rPr>
            </w:pPr>
            <w:r>
              <w:rPr>
                <w:rFonts w:hint="eastAsia" w:ascii="宋体" w:hAnsi="宋体" w:cs="宋体"/>
                <w:color w:val="000000"/>
                <w:kern w:val="0"/>
                <w:sz w:val="24"/>
              </w:rPr>
              <w:t>差</w:t>
            </w:r>
          </w:p>
        </w:tc>
      </w:tr>
    </w:tbl>
    <w:p w14:paraId="6AE8C519">
      <w:pPr>
        <w:spacing w:line="560" w:lineRule="exact"/>
        <w:ind w:firstLine="570"/>
        <w:rPr>
          <w:rFonts w:ascii="仿宋" w:hAnsi="仿宋" w:eastAsia="仿宋" w:cs="宋体"/>
          <w:sz w:val="30"/>
          <w:szCs w:val="30"/>
        </w:rPr>
      </w:pPr>
    </w:p>
    <w:p w14:paraId="2F04BE8A">
      <w:pPr>
        <w:spacing w:line="560" w:lineRule="exact"/>
        <w:outlineLvl w:val="2"/>
        <w:rPr>
          <w:rFonts w:ascii="楷体" w:hAnsi="楷体" w:eastAsia="楷体" w:cs="楷体"/>
          <w:sz w:val="32"/>
          <w:szCs w:val="32"/>
        </w:rPr>
      </w:pPr>
      <w:r>
        <w:rPr>
          <w:rFonts w:hint="eastAsia" w:ascii="仿宋" w:hAnsi="仿宋" w:eastAsia="仿宋" w:cs="宋体"/>
          <w:sz w:val="30"/>
          <w:szCs w:val="30"/>
        </w:rPr>
        <w:t xml:space="preserve">   </w:t>
      </w:r>
      <w:r>
        <w:rPr>
          <w:rFonts w:hint="eastAsia" w:ascii="仿宋" w:hAnsi="仿宋" w:eastAsia="仿宋" w:cs="宋体"/>
          <w:sz w:val="32"/>
          <w:szCs w:val="32"/>
        </w:rPr>
        <w:t xml:space="preserve"> </w:t>
      </w:r>
      <w:bookmarkStart w:id="39" w:name="_Toc32545"/>
      <w:bookmarkStart w:id="40" w:name="_Toc30630"/>
      <w:r>
        <w:rPr>
          <w:rFonts w:hint="eastAsia" w:ascii="楷体" w:hAnsi="楷体" w:eastAsia="楷体" w:cs="楷体"/>
          <w:b/>
          <w:bCs/>
          <w:sz w:val="32"/>
          <w:szCs w:val="32"/>
        </w:rPr>
        <w:t>2.2.4  证据收集方法</w:t>
      </w:r>
      <w:bookmarkEnd w:id="39"/>
      <w:bookmarkEnd w:id="40"/>
    </w:p>
    <w:p w14:paraId="3A359509">
      <w:pPr>
        <w:spacing w:line="560" w:lineRule="exact"/>
        <w:rPr>
          <w:rFonts w:ascii="仿宋" w:hAnsi="仿宋" w:eastAsia="仿宋" w:cs="宋体"/>
          <w:sz w:val="32"/>
          <w:szCs w:val="32"/>
        </w:rPr>
      </w:pPr>
      <w:r>
        <w:rPr>
          <w:rFonts w:hint="eastAsia" w:ascii="仿宋" w:hAnsi="仿宋" w:eastAsia="仿宋" w:cs="宋体"/>
          <w:sz w:val="32"/>
          <w:szCs w:val="32"/>
        </w:rPr>
        <w:t xml:space="preserve">    本次绩效评价工作的开展，评价工作组对评价证据及佐证材料的收集主要通过案卷研析、实地调研、座谈和问卷调查等四种形式进行。</w:t>
      </w:r>
    </w:p>
    <w:p w14:paraId="3BE9C203">
      <w:pPr>
        <w:spacing w:line="560" w:lineRule="exact"/>
        <w:ind w:firstLine="636" w:firstLineChars="198"/>
        <w:rPr>
          <w:rFonts w:ascii="仿宋" w:hAnsi="仿宋" w:eastAsia="仿宋" w:cs="宋体"/>
          <w:sz w:val="32"/>
          <w:szCs w:val="32"/>
        </w:rPr>
      </w:pPr>
      <w:r>
        <w:rPr>
          <w:rFonts w:hint="eastAsia" w:ascii="仿宋" w:hAnsi="仿宋" w:eastAsia="仿宋" w:cs="宋体"/>
          <w:b/>
          <w:bCs/>
          <w:sz w:val="32"/>
          <w:szCs w:val="32"/>
        </w:rPr>
        <w:t>2.2.4.1  案卷研析</w:t>
      </w:r>
    </w:p>
    <w:p w14:paraId="5131AE5A">
      <w:pPr>
        <w:spacing w:line="560" w:lineRule="exact"/>
        <w:rPr>
          <w:rFonts w:ascii="仿宋" w:hAnsi="仿宋" w:eastAsia="仿宋" w:cs="宋体"/>
          <w:sz w:val="32"/>
          <w:szCs w:val="32"/>
        </w:rPr>
      </w:pPr>
      <w:r>
        <w:rPr>
          <w:rFonts w:hint="eastAsia" w:ascii="仿宋" w:hAnsi="仿宋" w:eastAsia="仿宋" w:cs="宋体"/>
          <w:sz w:val="32"/>
          <w:szCs w:val="32"/>
        </w:rPr>
        <w:t xml:space="preserve">    从预算资金管理部门县财政局查阅、整理、研究、分析专项资金具体实施及绩效目标管理等相关信息和佐证材料。</w:t>
      </w:r>
    </w:p>
    <w:p w14:paraId="042DE35C">
      <w:pPr>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b/>
          <w:bCs/>
          <w:sz w:val="32"/>
          <w:szCs w:val="32"/>
        </w:rPr>
        <w:t xml:space="preserve"> 2.2.4.2  实地调研与座谈</w:t>
      </w:r>
    </w:p>
    <w:p w14:paraId="4FC0D6CF">
      <w:pPr>
        <w:spacing w:line="560" w:lineRule="exact"/>
        <w:ind w:firstLine="555"/>
        <w:rPr>
          <w:rFonts w:ascii="仿宋" w:hAnsi="仿宋" w:eastAsia="仿宋" w:cs="宋体"/>
          <w:sz w:val="32"/>
          <w:szCs w:val="32"/>
        </w:rPr>
      </w:pPr>
      <w:r>
        <w:rPr>
          <w:rFonts w:hint="eastAsia" w:ascii="仿宋" w:hAnsi="仿宋" w:eastAsia="仿宋" w:cs="宋体"/>
          <w:sz w:val="32"/>
          <w:szCs w:val="32"/>
        </w:rPr>
        <w:t>与天城镇人民政府实施座谈，听取关于资金绩效工作的陈述和信息反馈，听取意见和建议，为后续绩效指标评价分析和撰写评价报告奠定基础。</w:t>
      </w:r>
    </w:p>
    <w:p w14:paraId="3BEC5383">
      <w:pPr>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b/>
          <w:bCs/>
          <w:sz w:val="32"/>
          <w:szCs w:val="32"/>
        </w:rPr>
        <w:t xml:space="preserve">  2.2.4.</w:t>
      </w:r>
      <w:r>
        <w:rPr>
          <w:rFonts w:ascii="仿宋" w:hAnsi="仿宋" w:eastAsia="仿宋" w:cs="宋体"/>
          <w:b/>
          <w:bCs/>
          <w:sz w:val="32"/>
          <w:szCs w:val="32"/>
        </w:rPr>
        <w:t>3</w:t>
      </w:r>
      <w:r>
        <w:rPr>
          <w:rFonts w:hint="eastAsia" w:ascii="仿宋" w:hAnsi="仿宋" w:eastAsia="仿宋" w:cs="宋体"/>
          <w:b/>
          <w:bCs/>
          <w:sz w:val="32"/>
          <w:szCs w:val="32"/>
        </w:rPr>
        <w:t xml:space="preserve"> 问卷调查</w:t>
      </w:r>
    </w:p>
    <w:p w14:paraId="3DAB4EF9">
      <w:pPr>
        <w:spacing w:line="560" w:lineRule="exact"/>
        <w:ind w:firstLine="555"/>
        <w:rPr>
          <w:rFonts w:ascii="仿宋" w:hAnsi="仿宋" w:eastAsia="仿宋" w:cs="宋体"/>
          <w:sz w:val="32"/>
          <w:szCs w:val="32"/>
        </w:rPr>
      </w:pPr>
      <w:r>
        <w:rPr>
          <w:rFonts w:hint="eastAsia" w:ascii="仿宋" w:hAnsi="仿宋" w:eastAsia="仿宋" w:cs="宋体"/>
          <w:sz w:val="32"/>
          <w:szCs w:val="32"/>
        </w:rPr>
        <w:t>对收益群众发放调查问卷，</w:t>
      </w:r>
      <w:bookmarkStart w:id="41" w:name="_Hlk65060043"/>
      <w:r>
        <w:rPr>
          <w:rFonts w:hint="eastAsia" w:ascii="仿宋" w:hAnsi="仿宋" w:eastAsia="仿宋" w:cs="宋体"/>
          <w:sz w:val="32"/>
          <w:szCs w:val="32"/>
        </w:rPr>
        <w:t>从政府服务，问题解决、办事效率等方面，</w:t>
      </w:r>
      <w:bookmarkEnd w:id="41"/>
      <w:r>
        <w:rPr>
          <w:rFonts w:hint="eastAsia" w:ascii="仿宋" w:hAnsi="仿宋" w:eastAsia="仿宋" w:cs="宋体"/>
          <w:sz w:val="32"/>
          <w:szCs w:val="32"/>
        </w:rPr>
        <w:t>了解部门整体支出实施满意度和影响力，以公众评判来考核项目实施效果。</w:t>
      </w:r>
    </w:p>
    <w:p w14:paraId="5D8C5FC2">
      <w:pPr>
        <w:spacing w:line="560" w:lineRule="exact"/>
        <w:ind w:firstLine="570"/>
        <w:outlineLvl w:val="1"/>
        <w:rPr>
          <w:rFonts w:ascii="黑体" w:hAnsi="黑体" w:eastAsia="黑体"/>
          <w:sz w:val="32"/>
          <w:szCs w:val="32"/>
        </w:rPr>
      </w:pPr>
      <w:bookmarkStart w:id="42" w:name="_Toc18400"/>
      <w:bookmarkStart w:id="43" w:name="_Toc18522"/>
      <w:r>
        <w:rPr>
          <w:rFonts w:hint="eastAsia" w:ascii="黑体" w:hAnsi="黑体" w:eastAsia="黑体" w:cs="楷体"/>
          <w:sz w:val="32"/>
          <w:szCs w:val="32"/>
        </w:rPr>
        <w:t>2.3  绩效指标完成情况分析</w:t>
      </w:r>
      <w:bookmarkEnd w:id="42"/>
      <w:bookmarkEnd w:id="43"/>
    </w:p>
    <w:p w14:paraId="789E907A">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根据设定的绩效评价指标体系，依照指标评价标准及评分细则，从</w:t>
      </w:r>
      <w:r>
        <w:rPr>
          <w:rFonts w:hint="eastAsia" w:ascii="仿宋" w:hAnsi="仿宋" w:eastAsia="仿宋" w:cs="仿宋"/>
          <w:sz w:val="32"/>
          <w:szCs w:val="32"/>
        </w:rPr>
        <w:t>运行成本、管理效率、履职效能、履职效益</w:t>
      </w:r>
      <w:r>
        <w:rPr>
          <w:rFonts w:hint="eastAsia" w:ascii="仿宋" w:hAnsi="仿宋" w:eastAsia="仿宋" w:cs="宋体"/>
          <w:sz w:val="32"/>
          <w:szCs w:val="32"/>
        </w:rPr>
        <w:t>四个维度对产业专项资金绩效进行分析评价打分。</w:t>
      </w:r>
    </w:p>
    <w:p w14:paraId="20B79E85">
      <w:pPr>
        <w:spacing w:line="560" w:lineRule="exact"/>
        <w:ind w:firstLine="585"/>
        <w:outlineLvl w:val="2"/>
        <w:rPr>
          <w:rFonts w:ascii="仿宋" w:hAnsi="仿宋" w:eastAsia="仿宋" w:cs="宋体"/>
          <w:b/>
          <w:bCs/>
          <w:sz w:val="32"/>
          <w:szCs w:val="32"/>
        </w:rPr>
      </w:pPr>
      <w:bookmarkStart w:id="44" w:name="_Toc9653"/>
      <w:r>
        <w:rPr>
          <w:rFonts w:hint="eastAsia" w:ascii="楷体" w:hAnsi="楷体" w:eastAsia="楷体" w:cs="楷体"/>
          <w:b/>
          <w:bCs/>
          <w:sz w:val="32"/>
          <w:szCs w:val="32"/>
        </w:rPr>
        <w:t xml:space="preserve">2.3.1  </w:t>
      </w:r>
      <w:bookmarkEnd w:id="44"/>
      <w:r>
        <w:rPr>
          <w:rFonts w:hint="eastAsia" w:ascii="楷体" w:hAnsi="楷体" w:eastAsia="楷体" w:cs="楷体"/>
          <w:b/>
          <w:bCs/>
          <w:sz w:val="32"/>
          <w:szCs w:val="32"/>
        </w:rPr>
        <w:t>运行成本分析</w:t>
      </w:r>
    </w:p>
    <w:p w14:paraId="7CC64D90">
      <w:pPr>
        <w:spacing w:line="560" w:lineRule="exact"/>
        <w:ind w:firstLine="562"/>
        <w:rPr>
          <w:rFonts w:ascii="仿宋" w:hAnsi="仿宋" w:eastAsia="仿宋" w:cs="楷体"/>
          <w:b/>
          <w:sz w:val="32"/>
          <w:szCs w:val="32"/>
        </w:rPr>
      </w:pPr>
      <w:r>
        <w:rPr>
          <w:rFonts w:hint="eastAsia" w:ascii="仿宋" w:hAnsi="仿宋" w:eastAsia="仿宋" w:cs="楷体"/>
          <w:b/>
          <w:sz w:val="32"/>
          <w:szCs w:val="32"/>
        </w:rPr>
        <w:t>2.3.1.1  基本经费成本控制</w:t>
      </w:r>
    </w:p>
    <w:p w14:paraId="5C0050B8">
      <w:pPr>
        <w:spacing w:line="560" w:lineRule="exact"/>
        <w:ind w:firstLine="598" w:firstLineChars="186"/>
        <w:rPr>
          <w:rFonts w:ascii="仿宋" w:hAnsi="仿宋" w:eastAsia="仿宋" w:cs="宋体"/>
          <w:b/>
          <w:sz w:val="32"/>
          <w:szCs w:val="32"/>
        </w:rPr>
      </w:pPr>
      <w:bookmarkStart w:id="45" w:name="_Hlk64894692"/>
      <w:bookmarkStart w:id="46" w:name="_Hlk65071167"/>
      <w:r>
        <w:rPr>
          <w:rFonts w:hint="eastAsia" w:ascii="仿宋" w:hAnsi="仿宋" w:eastAsia="仿宋"/>
          <w:b/>
          <w:sz w:val="32"/>
          <w:szCs w:val="32"/>
        </w:rPr>
        <w:t>a）</w:t>
      </w:r>
      <w:bookmarkEnd w:id="45"/>
      <w:r>
        <w:rPr>
          <w:rFonts w:hint="eastAsia" w:ascii="仿宋" w:hAnsi="仿宋" w:eastAsia="仿宋"/>
          <w:b/>
          <w:sz w:val="32"/>
          <w:szCs w:val="32"/>
        </w:rPr>
        <w:t>基本支出变动率</w:t>
      </w:r>
      <w:r>
        <w:rPr>
          <w:rFonts w:hint="eastAsia" w:ascii="仿宋" w:hAnsi="仿宋" w:eastAsia="仿宋" w:cs="宋体"/>
          <w:b/>
          <w:sz w:val="32"/>
          <w:szCs w:val="32"/>
        </w:rPr>
        <w:t>（指标标准分值5分）</w:t>
      </w:r>
    </w:p>
    <w:p w14:paraId="7410D44C">
      <w:pPr>
        <w:spacing w:line="560" w:lineRule="exact"/>
        <w:ind w:firstLine="643" w:firstLineChars="200"/>
        <w:rPr>
          <w:rFonts w:ascii="仿宋" w:hAnsi="仿宋" w:eastAsia="仿宋"/>
          <w:sz w:val="32"/>
          <w:szCs w:val="32"/>
        </w:rPr>
      </w:pPr>
      <w:r>
        <w:rPr>
          <w:rFonts w:hint="eastAsia" w:ascii="仿宋" w:hAnsi="仿宋" w:eastAsia="仿宋" w:cs="宋体"/>
          <w:b/>
          <w:sz w:val="32"/>
          <w:szCs w:val="32"/>
        </w:rPr>
        <w:t>评价分析：</w:t>
      </w:r>
      <w:r>
        <w:rPr>
          <w:rFonts w:hint="eastAsia" w:ascii="仿宋" w:hAnsi="仿宋" w:eastAsia="仿宋"/>
          <w:sz w:val="32"/>
          <w:szCs w:val="32"/>
        </w:rPr>
        <w:t>根据崇阳县天城镇人民政府2020年预决算相关资料，2020年基本支出1,880.21万元，比2019年的决算金额944.37万元增加935.84万元，其中人员经费决算数1,573.83万元，比2019年的决算金额2,425.15万元减少851.32万元，公用费用支出决算数为306.38万元，比2019年的决算金额320.24万元减少13.86万元。基本支出用于行政运行，其中人员经费及公用经费由于疫情防控补助而大幅增加。</w:t>
      </w:r>
    </w:p>
    <w:p w14:paraId="1CF5BEC9">
      <w:pPr>
        <w:spacing w:line="560" w:lineRule="exact"/>
        <w:ind w:firstLine="643" w:firstLineChars="200"/>
        <w:rPr>
          <w:rFonts w:ascii="仿宋" w:hAnsi="仿宋" w:eastAsia="仿宋" w:cs="楷体"/>
          <w:bCs/>
          <w:sz w:val="32"/>
          <w:szCs w:val="32"/>
        </w:rPr>
      </w:pPr>
      <w:r>
        <w:rPr>
          <w:rFonts w:hint="eastAsia" w:ascii="仿宋" w:hAnsi="仿宋" w:eastAsia="仿宋" w:cs="楷体"/>
          <w:b/>
          <w:sz w:val="32"/>
          <w:szCs w:val="32"/>
        </w:rPr>
        <w:t>评价得分：</w:t>
      </w:r>
      <w:r>
        <w:rPr>
          <w:rFonts w:hint="eastAsia" w:ascii="仿宋" w:hAnsi="仿宋" w:eastAsia="仿宋" w:cs="楷体"/>
          <w:bCs/>
          <w:sz w:val="32"/>
          <w:szCs w:val="32"/>
        </w:rPr>
        <w:t>部门基本支出变动率99.1%，指标评价得分为0分。</w:t>
      </w:r>
    </w:p>
    <w:p w14:paraId="32034DE4">
      <w:pPr>
        <w:spacing w:line="560" w:lineRule="exact"/>
        <w:ind w:firstLine="643" w:firstLineChars="200"/>
        <w:rPr>
          <w:rFonts w:ascii="仿宋" w:hAnsi="仿宋" w:eastAsia="仿宋" w:cs="宋体"/>
          <w:b/>
          <w:sz w:val="32"/>
          <w:szCs w:val="32"/>
        </w:rPr>
      </w:pPr>
      <w:r>
        <w:rPr>
          <w:rFonts w:hint="eastAsia" w:ascii="仿宋" w:hAnsi="仿宋" w:eastAsia="仿宋"/>
          <w:b/>
          <w:sz w:val="32"/>
          <w:szCs w:val="32"/>
        </w:rPr>
        <w:t>b）</w:t>
      </w:r>
      <w:r>
        <w:rPr>
          <w:rFonts w:hint="eastAsia" w:ascii="仿宋" w:hAnsi="仿宋" w:eastAsia="仿宋" w:cs="仿宋"/>
          <w:b/>
          <w:sz w:val="32"/>
          <w:szCs w:val="32"/>
          <w:lang w:eastAsia="zh-CN"/>
        </w:rPr>
        <w:t>“三公”经费</w:t>
      </w:r>
      <w:r>
        <w:rPr>
          <w:rFonts w:hint="eastAsia" w:ascii="仿宋" w:hAnsi="仿宋" w:eastAsia="仿宋" w:cs="仿宋"/>
          <w:b/>
          <w:sz w:val="32"/>
          <w:szCs w:val="32"/>
        </w:rPr>
        <w:t>变动率</w:t>
      </w:r>
      <w:r>
        <w:rPr>
          <w:rFonts w:hint="eastAsia" w:ascii="仿宋" w:hAnsi="仿宋" w:eastAsia="仿宋"/>
          <w:b/>
          <w:sz w:val="32"/>
          <w:szCs w:val="32"/>
        </w:rPr>
        <w:t>（</w:t>
      </w:r>
      <w:r>
        <w:rPr>
          <w:rFonts w:hint="eastAsia" w:ascii="仿宋" w:hAnsi="仿宋" w:eastAsia="仿宋" w:cs="宋体"/>
          <w:b/>
          <w:sz w:val="32"/>
          <w:szCs w:val="32"/>
        </w:rPr>
        <w:t>指标标准分值5分）</w:t>
      </w:r>
    </w:p>
    <w:p w14:paraId="38C5B67A">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b/>
          <w:sz w:val="32"/>
          <w:szCs w:val="32"/>
        </w:rPr>
        <w:t>指标分析：</w:t>
      </w:r>
      <w:r>
        <w:rPr>
          <w:rFonts w:hint="eastAsia" w:ascii="仿宋" w:hAnsi="仿宋" w:eastAsia="仿宋" w:cs="仿宋"/>
          <w:sz w:val="32"/>
          <w:szCs w:val="32"/>
        </w:rPr>
        <w:t>根据崇阳县天城镇人民政府2020年预决算相关资料，2020年“三公”经费支出8.77万元，比2019年“三公”经费支出12.77万元减少4万元，</w:t>
      </w:r>
      <w:r>
        <w:rPr>
          <w:rFonts w:hint="eastAsia" w:ascii="仿宋" w:hAnsi="仿宋" w:eastAsia="仿宋" w:cs="仿宋"/>
          <w:sz w:val="32"/>
          <w:szCs w:val="32"/>
          <w:lang w:eastAsia="zh-CN"/>
        </w:rPr>
        <w:t>“三公”经费</w:t>
      </w:r>
      <w:r>
        <w:rPr>
          <w:rFonts w:hint="eastAsia" w:ascii="仿宋" w:hAnsi="仿宋" w:eastAsia="仿宋" w:cs="仿宋"/>
          <w:sz w:val="32"/>
          <w:szCs w:val="32"/>
        </w:rPr>
        <w:t>变动率为-31.33%。</w:t>
      </w:r>
    </w:p>
    <w:p w14:paraId="0F16FD65">
      <w:pPr>
        <w:adjustRightInd w:val="0"/>
        <w:snapToGrid w:val="0"/>
        <w:spacing w:line="510" w:lineRule="exact"/>
        <w:jc w:val="center"/>
        <w:rPr>
          <w:rFonts w:ascii="宋体" w:hAnsi="宋体" w:cs="仿宋"/>
          <w:b/>
          <w:bCs/>
          <w:sz w:val="28"/>
          <w:szCs w:val="28"/>
        </w:rPr>
      </w:pPr>
      <w:r>
        <w:rPr>
          <w:rFonts w:hint="eastAsia" w:cs="仿宋"/>
          <w:b/>
          <w:bCs/>
          <w:sz w:val="28"/>
          <w:szCs w:val="28"/>
        </w:rPr>
        <w:t>2019年-2020年</w:t>
      </w:r>
      <w:r>
        <w:rPr>
          <w:rFonts w:hint="eastAsia" w:cs="仿宋"/>
          <w:b/>
          <w:bCs/>
          <w:sz w:val="28"/>
          <w:szCs w:val="28"/>
          <w:lang w:eastAsia="zh-CN"/>
        </w:rPr>
        <w:t>“三公”经费</w:t>
      </w:r>
      <w:r>
        <w:rPr>
          <w:rFonts w:hint="eastAsia" w:cs="仿宋"/>
          <w:b/>
          <w:bCs/>
          <w:sz w:val="28"/>
          <w:szCs w:val="28"/>
        </w:rPr>
        <w:t>决算支出变动表</w:t>
      </w:r>
    </w:p>
    <w:p w14:paraId="4EC5CDB5">
      <w:pPr>
        <w:adjustRightInd w:val="0"/>
        <w:snapToGrid w:val="0"/>
        <w:spacing w:line="510" w:lineRule="exact"/>
        <w:jc w:val="right"/>
        <w:rPr>
          <w:rFonts w:cs="Arial"/>
          <w:color w:val="000000"/>
          <w:sz w:val="22"/>
        </w:rPr>
      </w:pPr>
      <w:r>
        <w:rPr>
          <w:rFonts w:hint="eastAsia" w:cs="Arial"/>
          <w:color w:val="000000"/>
          <w:sz w:val="22"/>
        </w:rPr>
        <w:t>单位：元</w:t>
      </w:r>
    </w:p>
    <w:tbl>
      <w:tblPr>
        <w:tblStyle w:val="10"/>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1275"/>
        <w:gridCol w:w="1418"/>
        <w:gridCol w:w="1589"/>
        <w:gridCol w:w="1155"/>
      </w:tblGrid>
      <w:tr w14:paraId="2925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14:paraId="13CDA4BD">
            <w:pPr>
              <w:jc w:val="center"/>
              <w:rPr>
                <w:rFonts w:ascii="宋体" w:hAnsi="宋体" w:cs="Arial"/>
                <w:b/>
                <w:bCs/>
                <w:color w:val="000000"/>
                <w:sz w:val="22"/>
              </w:rPr>
            </w:pPr>
            <w:r>
              <w:rPr>
                <w:rFonts w:hint="eastAsia" w:cs="Arial"/>
                <w:b/>
                <w:bCs/>
                <w:color w:val="000000"/>
                <w:sz w:val="22"/>
              </w:rPr>
              <w:t>“三公”经费支出</w:t>
            </w:r>
          </w:p>
        </w:tc>
        <w:tc>
          <w:tcPr>
            <w:tcW w:w="1275" w:type="dxa"/>
            <w:tcBorders>
              <w:top w:val="single" w:color="auto" w:sz="4" w:space="0"/>
              <w:left w:val="single" w:color="auto" w:sz="4" w:space="0"/>
              <w:bottom w:val="single" w:color="auto" w:sz="4" w:space="0"/>
              <w:right w:val="single" w:color="auto" w:sz="4" w:space="0"/>
            </w:tcBorders>
            <w:noWrap/>
            <w:vAlign w:val="center"/>
          </w:tcPr>
          <w:p w14:paraId="5F8565B6">
            <w:pPr>
              <w:jc w:val="center"/>
              <w:rPr>
                <w:rFonts w:ascii="宋体" w:hAnsi="宋体" w:cs="Arial"/>
                <w:b/>
                <w:bCs/>
                <w:color w:val="000000"/>
                <w:sz w:val="22"/>
              </w:rPr>
            </w:pPr>
            <w:r>
              <w:rPr>
                <w:rFonts w:hint="eastAsia" w:cs="Arial"/>
                <w:b/>
                <w:bCs/>
                <w:color w:val="000000"/>
                <w:sz w:val="22"/>
              </w:rPr>
              <w:t>2019年</w:t>
            </w:r>
          </w:p>
        </w:tc>
        <w:tc>
          <w:tcPr>
            <w:tcW w:w="1418" w:type="dxa"/>
            <w:tcBorders>
              <w:top w:val="single" w:color="auto" w:sz="4" w:space="0"/>
              <w:left w:val="single" w:color="auto" w:sz="4" w:space="0"/>
              <w:bottom w:val="single" w:color="auto" w:sz="4" w:space="0"/>
              <w:right w:val="single" w:color="auto" w:sz="4" w:space="0"/>
            </w:tcBorders>
            <w:noWrap/>
            <w:vAlign w:val="center"/>
          </w:tcPr>
          <w:p w14:paraId="060BB261">
            <w:pPr>
              <w:jc w:val="center"/>
              <w:rPr>
                <w:rFonts w:ascii="宋体" w:hAnsi="宋体" w:cs="Arial"/>
                <w:b/>
                <w:bCs/>
                <w:color w:val="000000"/>
                <w:sz w:val="22"/>
              </w:rPr>
            </w:pPr>
            <w:r>
              <w:rPr>
                <w:rFonts w:hint="eastAsia" w:cs="Arial"/>
                <w:b/>
                <w:bCs/>
                <w:color w:val="000000"/>
                <w:sz w:val="22"/>
              </w:rPr>
              <w:t>2020年</w:t>
            </w:r>
          </w:p>
        </w:tc>
        <w:tc>
          <w:tcPr>
            <w:tcW w:w="1589" w:type="dxa"/>
            <w:tcBorders>
              <w:top w:val="single" w:color="auto" w:sz="4" w:space="0"/>
              <w:left w:val="single" w:color="auto" w:sz="4" w:space="0"/>
              <w:bottom w:val="single" w:color="auto" w:sz="4" w:space="0"/>
              <w:right w:val="single" w:color="auto" w:sz="4" w:space="0"/>
            </w:tcBorders>
            <w:noWrap/>
            <w:vAlign w:val="center"/>
          </w:tcPr>
          <w:p w14:paraId="37211951">
            <w:pPr>
              <w:jc w:val="center"/>
              <w:rPr>
                <w:rFonts w:ascii="宋体" w:hAnsi="宋体" w:cs="Arial"/>
                <w:b/>
                <w:bCs/>
                <w:color w:val="000000"/>
                <w:sz w:val="22"/>
              </w:rPr>
            </w:pPr>
            <w:r>
              <w:rPr>
                <w:rFonts w:hint="eastAsia" w:cs="Arial"/>
                <w:b/>
                <w:bCs/>
                <w:color w:val="000000"/>
                <w:sz w:val="22"/>
              </w:rPr>
              <w:t>变动额</w:t>
            </w:r>
          </w:p>
        </w:tc>
        <w:tc>
          <w:tcPr>
            <w:tcW w:w="1155" w:type="dxa"/>
            <w:tcBorders>
              <w:top w:val="single" w:color="auto" w:sz="4" w:space="0"/>
              <w:left w:val="single" w:color="auto" w:sz="4" w:space="0"/>
              <w:bottom w:val="single" w:color="auto" w:sz="4" w:space="0"/>
              <w:right w:val="single" w:color="auto" w:sz="4" w:space="0"/>
            </w:tcBorders>
            <w:noWrap/>
            <w:vAlign w:val="center"/>
          </w:tcPr>
          <w:p w14:paraId="067F5CF6">
            <w:pPr>
              <w:jc w:val="center"/>
              <w:rPr>
                <w:rFonts w:ascii="宋体" w:hAnsi="宋体" w:cs="Arial"/>
                <w:b/>
                <w:bCs/>
                <w:color w:val="000000"/>
                <w:sz w:val="22"/>
              </w:rPr>
            </w:pPr>
            <w:r>
              <w:rPr>
                <w:rFonts w:hint="eastAsia" w:cs="Arial"/>
                <w:b/>
                <w:bCs/>
                <w:color w:val="000000"/>
                <w:sz w:val="22"/>
              </w:rPr>
              <w:t>变动率</w:t>
            </w:r>
          </w:p>
        </w:tc>
      </w:tr>
      <w:tr w14:paraId="6A1C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14:paraId="0E1FE272">
            <w:pPr>
              <w:jc w:val="center"/>
              <w:rPr>
                <w:rFonts w:ascii="宋体" w:hAnsi="宋体" w:cs="Arial"/>
                <w:b/>
                <w:bCs/>
                <w:color w:val="000000"/>
                <w:sz w:val="22"/>
              </w:rPr>
            </w:pPr>
            <w:r>
              <w:rPr>
                <w:rFonts w:hint="eastAsia" w:cs="Arial"/>
                <w:b/>
                <w:bCs/>
                <w:color w:val="000000"/>
                <w:sz w:val="22"/>
              </w:rPr>
              <w:t>支出合计</w:t>
            </w:r>
          </w:p>
        </w:tc>
        <w:tc>
          <w:tcPr>
            <w:tcW w:w="1275" w:type="dxa"/>
            <w:tcBorders>
              <w:top w:val="single" w:color="auto" w:sz="4" w:space="0"/>
              <w:left w:val="single" w:color="auto" w:sz="4" w:space="0"/>
              <w:bottom w:val="single" w:color="auto" w:sz="4" w:space="0"/>
              <w:right w:val="single" w:color="auto" w:sz="4" w:space="0"/>
            </w:tcBorders>
            <w:noWrap/>
            <w:vAlign w:val="center"/>
          </w:tcPr>
          <w:p w14:paraId="5722A87E">
            <w:pPr>
              <w:jc w:val="right"/>
              <w:rPr>
                <w:rFonts w:ascii="宋体" w:hAnsi="宋体" w:cs="Arial"/>
                <w:b/>
                <w:color w:val="000000"/>
                <w:sz w:val="22"/>
                <w:szCs w:val="22"/>
              </w:rPr>
            </w:pPr>
            <w:r>
              <w:rPr>
                <w:rFonts w:cs="Arial"/>
                <w:b/>
                <w:color w:val="000000"/>
                <w:sz w:val="22"/>
                <w:szCs w:val="22"/>
              </w:rPr>
              <w:t>127,697.00</w:t>
            </w:r>
          </w:p>
        </w:tc>
        <w:tc>
          <w:tcPr>
            <w:tcW w:w="1418" w:type="dxa"/>
            <w:tcBorders>
              <w:top w:val="single" w:color="auto" w:sz="4" w:space="0"/>
              <w:left w:val="single" w:color="auto" w:sz="4" w:space="0"/>
              <w:bottom w:val="single" w:color="auto" w:sz="4" w:space="0"/>
              <w:right w:val="single" w:color="auto" w:sz="4" w:space="0"/>
            </w:tcBorders>
            <w:noWrap/>
            <w:vAlign w:val="center"/>
          </w:tcPr>
          <w:p w14:paraId="19E407F8">
            <w:pPr>
              <w:jc w:val="right"/>
              <w:rPr>
                <w:rFonts w:ascii="宋体" w:hAnsi="宋体" w:cs="Arial"/>
                <w:b/>
                <w:color w:val="000000"/>
                <w:sz w:val="22"/>
                <w:szCs w:val="22"/>
              </w:rPr>
            </w:pPr>
            <w:r>
              <w:rPr>
                <w:rFonts w:cs="Arial"/>
                <w:b/>
                <w:color w:val="000000"/>
                <w:sz w:val="22"/>
                <w:szCs w:val="22"/>
              </w:rPr>
              <w:t>87,685.00</w:t>
            </w:r>
          </w:p>
        </w:tc>
        <w:tc>
          <w:tcPr>
            <w:tcW w:w="1589" w:type="dxa"/>
            <w:tcBorders>
              <w:top w:val="single" w:color="auto" w:sz="4" w:space="0"/>
              <w:left w:val="single" w:color="auto" w:sz="4" w:space="0"/>
              <w:bottom w:val="single" w:color="auto" w:sz="4" w:space="0"/>
              <w:right w:val="single" w:color="auto" w:sz="4" w:space="0"/>
            </w:tcBorders>
            <w:noWrap/>
            <w:vAlign w:val="center"/>
          </w:tcPr>
          <w:p w14:paraId="2CF5FC12">
            <w:pPr>
              <w:jc w:val="right"/>
              <w:rPr>
                <w:rFonts w:ascii="宋体" w:hAnsi="宋体" w:cs="Arial"/>
                <w:b/>
                <w:color w:val="000000"/>
                <w:sz w:val="22"/>
                <w:szCs w:val="22"/>
              </w:rPr>
            </w:pPr>
            <w:r>
              <w:rPr>
                <w:rFonts w:cs="Arial"/>
                <w:b/>
                <w:color w:val="000000"/>
                <w:sz w:val="22"/>
                <w:szCs w:val="22"/>
              </w:rPr>
              <w:t>-40,012.00</w:t>
            </w:r>
          </w:p>
        </w:tc>
        <w:tc>
          <w:tcPr>
            <w:tcW w:w="1155" w:type="dxa"/>
            <w:tcBorders>
              <w:top w:val="single" w:color="auto" w:sz="4" w:space="0"/>
              <w:left w:val="single" w:color="auto" w:sz="4" w:space="0"/>
              <w:bottom w:val="single" w:color="auto" w:sz="4" w:space="0"/>
              <w:right w:val="single" w:color="auto" w:sz="4" w:space="0"/>
            </w:tcBorders>
            <w:noWrap/>
            <w:vAlign w:val="center"/>
          </w:tcPr>
          <w:p w14:paraId="449532D6">
            <w:pPr>
              <w:jc w:val="right"/>
              <w:rPr>
                <w:rFonts w:ascii="宋体" w:hAnsi="宋体" w:cs="Arial"/>
                <w:b/>
                <w:color w:val="000000"/>
                <w:sz w:val="22"/>
                <w:szCs w:val="22"/>
              </w:rPr>
            </w:pPr>
            <w:r>
              <w:rPr>
                <w:rFonts w:cs="Arial"/>
                <w:b/>
                <w:color w:val="000000"/>
                <w:sz w:val="22"/>
                <w:szCs w:val="22"/>
              </w:rPr>
              <w:t>-</w:t>
            </w:r>
            <w:r>
              <w:rPr>
                <w:rFonts w:hint="eastAsia" w:cs="Arial"/>
                <w:b/>
                <w:color w:val="000000"/>
                <w:sz w:val="22"/>
                <w:szCs w:val="22"/>
              </w:rPr>
              <w:t>31.33%</w:t>
            </w:r>
          </w:p>
        </w:tc>
      </w:tr>
      <w:tr w14:paraId="383E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14:paraId="63C30722">
            <w:pPr>
              <w:rPr>
                <w:rFonts w:ascii="宋体" w:hAnsi="宋体" w:cs="Arial"/>
                <w:color w:val="000000"/>
                <w:sz w:val="22"/>
              </w:rPr>
            </w:pPr>
            <w:r>
              <w:rPr>
                <w:rFonts w:hint="eastAsia" w:cs="Arial"/>
                <w:color w:val="000000"/>
                <w:sz w:val="22"/>
              </w:rPr>
              <w:t xml:space="preserve">      其中：因公出国（境）费</w:t>
            </w:r>
          </w:p>
        </w:tc>
        <w:tc>
          <w:tcPr>
            <w:tcW w:w="1275" w:type="dxa"/>
            <w:tcBorders>
              <w:top w:val="single" w:color="auto" w:sz="4" w:space="0"/>
              <w:left w:val="single" w:color="auto" w:sz="4" w:space="0"/>
              <w:bottom w:val="single" w:color="auto" w:sz="4" w:space="0"/>
              <w:right w:val="single" w:color="auto" w:sz="4" w:space="0"/>
            </w:tcBorders>
            <w:noWrap/>
            <w:vAlign w:val="center"/>
          </w:tcPr>
          <w:p w14:paraId="7D6293F9">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auto" w:sz="4" w:space="0"/>
              <w:left w:val="single" w:color="auto" w:sz="4" w:space="0"/>
              <w:bottom w:val="single" w:color="auto" w:sz="4" w:space="0"/>
              <w:right w:val="single" w:color="auto" w:sz="4" w:space="0"/>
            </w:tcBorders>
            <w:noWrap/>
            <w:vAlign w:val="center"/>
          </w:tcPr>
          <w:p w14:paraId="4B7517F5">
            <w:pPr>
              <w:jc w:val="right"/>
              <w:rPr>
                <w:rFonts w:ascii="宋体" w:hAnsi="宋体" w:cs="Arial"/>
                <w:color w:val="000000"/>
                <w:sz w:val="22"/>
                <w:szCs w:val="22"/>
              </w:rPr>
            </w:pPr>
            <w:r>
              <w:rPr>
                <w:rFonts w:hint="eastAsia" w:cs="Arial"/>
                <w:color w:val="000000"/>
                <w:sz w:val="22"/>
                <w:szCs w:val="22"/>
              </w:rPr>
              <w:t>0.00</w:t>
            </w:r>
          </w:p>
        </w:tc>
        <w:tc>
          <w:tcPr>
            <w:tcW w:w="1589" w:type="dxa"/>
            <w:tcBorders>
              <w:top w:val="single" w:color="auto" w:sz="4" w:space="0"/>
              <w:left w:val="single" w:color="auto" w:sz="4" w:space="0"/>
              <w:bottom w:val="single" w:color="auto" w:sz="4" w:space="0"/>
              <w:right w:val="single" w:color="auto" w:sz="4" w:space="0"/>
            </w:tcBorders>
            <w:noWrap/>
            <w:vAlign w:val="center"/>
          </w:tcPr>
          <w:p w14:paraId="3CF6CBE1">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auto" w:sz="4" w:space="0"/>
              <w:left w:val="single" w:color="auto" w:sz="4" w:space="0"/>
              <w:bottom w:val="single" w:color="auto" w:sz="4" w:space="0"/>
              <w:right w:val="single" w:color="auto" w:sz="4" w:space="0"/>
            </w:tcBorders>
            <w:noWrap/>
            <w:vAlign w:val="center"/>
          </w:tcPr>
          <w:p w14:paraId="7988EC23">
            <w:pPr>
              <w:jc w:val="right"/>
              <w:rPr>
                <w:rFonts w:ascii="宋体" w:hAnsi="宋体" w:cs="Arial"/>
                <w:color w:val="000000"/>
                <w:sz w:val="22"/>
                <w:szCs w:val="22"/>
              </w:rPr>
            </w:pPr>
            <w:r>
              <w:rPr>
                <w:rFonts w:hint="eastAsia" w:cs="Arial"/>
                <w:color w:val="000000"/>
                <w:sz w:val="22"/>
                <w:szCs w:val="22"/>
              </w:rPr>
              <w:t>0.00</w:t>
            </w:r>
          </w:p>
        </w:tc>
      </w:tr>
      <w:tr w14:paraId="6B84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14:paraId="5A1DE9BC">
            <w:pPr>
              <w:jc w:val="center"/>
              <w:rPr>
                <w:rFonts w:ascii="宋体" w:hAnsi="宋体" w:cs="Arial"/>
                <w:color w:val="000000"/>
                <w:sz w:val="22"/>
              </w:rPr>
            </w:pPr>
            <w:r>
              <w:rPr>
                <w:rFonts w:hint="eastAsia" w:cs="Arial"/>
                <w:color w:val="000000"/>
                <w:sz w:val="22"/>
              </w:rPr>
              <w:t>公务用车购置及运行维护费</w:t>
            </w:r>
          </w:p>
        </w:tc>
        <w:tc>
          <w:tcPr>
            <w:tcW w:w="1275" w:type="dxa"/>
            <w:tcBorders>
              <w:top w:val="single" w:color="auto" w:sz="4" w:space="0"/>
              <w:left w:val="single" w:color="auto" w:sz="4" w:space="0"/>
              <w:bottom w:val="single" w:color="auto" w:sz="4" w:space="0"/>
              <w:right w:val="single" w:color="auto" w:sz="4" w:space="0"/>
            </w:tcBorders>
            <w:noWrap/>
            <w:vAlign w:val="center"/>
          </w:tcPr>
          <w:p w14:paraId="5765F087">
            <w:pPr>
              <w:jc w:val="right"/>
              <w:rPr>
                <w:rFonts w:ascii="宋体" w:hAnsi="宋体" w:cs="Arial"/>
                <w:color w:val="000000"/>
                <w:sz w:val="22"/>
                <w:szCs w:val="22"/>
              </w:rPr>
            </w:pPr>
            <w:r>
              <w:rPr>
                <w:rFonts w:cs="Arial"/>
                <w:color w:val="000000"/>
                <w:sz w:val="22"/>
                <w:szCs w:val="22"/>
              </w:rPr>
              <w:t>32,398.00</w:t>
            </w:r>
          </w:p>
        </w:tc>
        <w:tc>
          <w:tcPr>
            <w:tcW w:w="1418" w:type="dxa"/>
            <w:tcBorders>
              <w:top w:val="single" w:color="auto" w:sz="4" w:space="0"/>
              <w:left w:val="single" w:color="auto" w:sz="4" w:space="0"/>
              <w:bottom w:val="single" w:color="auto" w:sz="4" w:space="0"/>
              <w:right w:val="single" w:color="auto" w:sz="4" w:space="0"/>
            </w:tcBorders>
            <w:noWrap/>
            <w:vAlign w:val="center"/>
          </w:tcPr>
          <w:p w14:paraId="499AE035">
            <w:pPr>
              <w:jc w:val="right"/>
              <w:rPr>
                <w:rFonts w:ascii="宋体" w:hAnsi="宋体" w:cs="Arial"/>
                <w:color w:val="000000"/>
                <w:sz w:val="22"/>
                <w:szCs w:val="22"/>
              </w:rPr>
            </w:pPr>
            <w:r>
              <w:rPr>
                <w:rFonts w:cs="Arial"/>
                <w:color w:val="000000"/>
                <w:sz w:val="22"/>
                <w:szCs w:val="22"/>
              </w:rPr>
              <w:t>30,505.00</w:t>
            </w:r>
          </w:p>
        </w:tc>
        <w:tc>
          <w:tcPr>
            <w:tcW w:w="1589" w:type="dxa"/>
            <w:tcBorders>
              <w:top w:val="single" w:color="auto" w:sz="4" w:space="0"/>
              <w:left w:val="single" w:color="auto" w:sz="4" w:space="0"/>
              <w:bottom w:val="single" w:color="auto" w:sz="4" w:space="0"/>
              <w:right w:val="single" w:color="auto" w:sz="4" w:space="0"/>
            </w:tcBorders>
            <w:noWrap/>
            <w:vAlign w:val="center"/>
          </w:tcPr>
          <w:p w14:paraId="2372478C">
            <w:pPr>
              <w:jc w:val="right"/>
              <w:rPr>
                <w:rFonts w:ascii="宋体" w:hAnsi="宋体" w:cs="Arial"/>
                <w:color w:val="000000"/>
                <w:sz w:val="22"/>
                <w:szCs w:val="22"/>
              </w:rPr>
            </w:pPr>
            <w:r>
              <w:rPr>
                <w:rFonts w:cs="Arial"/>
                <w:color w:val="000000"/>
                <w:sz w:val="22"/>
                <w:szCs w:val="22"/>
              </w:rPr>
              <w:t>-1,893.00</w:t>
            </w:r>
          </w:p>
        </w:tc>
        <w:tc>
          <w:tcPr>
            <w:tcW w:w="1155" w:type="dxa"/>
            <w:tcBorders>
              <w:top w:val="single" w:color="auto" w:sz="4" w:space="0"/>
              <w:left w:val="single" w:color="auto" w:sz="4" w:space="0"/>
              <w:bottom w:val="single" w:color="auto" w:sz="4" w:space="0"/>
              <w:right w:val="single" w:color="auto" w:sz="4" w:space="0"/>
            </w:tcBorders>
            <w:noWrap/>
            <w:vAlign w:val="center"/>
          </w:tcPr>
          <w:p w14:paraId="79D97901">
            <w:pPr>
              <w:jc w:val="right"/>
              <w:rPr>
                <w:rFonts w:ascii="宋体" w:hAnsi="宋体" w:cs="Arial"/>
                <w:color w:val="000000"/>
                <w:sz w:val="22"/>
                <w:szCs w:val="22"/>
              </w:rPr>
            </w:pPr>
            <w:r>
              <w:rPr>
                <w:rFonts w:cs="Arial"/>
                <w:color w:val="000000"/>
                <w:sz w:val="22"/>
                <w:szCs w:val="22"/>
              </w:rPr>
              <w:t>-5.84</w:t>
            </w:r>
            <w:r>
              <w:rPr>
                <w:rFonts w:hint="eastAsia" w:cs="Arial"/>
                <w:color w:val="000000"/>
                <w:sz w:val="22"/>
                <w:szCs w:val="22"/>
              </w:rPr>
              <w:t>%</w:t>
            </w:r>
          </w:p>
        </w:tc>
      </w:tr>
      <w:tr w14:paraId="65A1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14:paraId="5E929C6C">
            <w:pPr>
              <w:rPr>
                <w:rFonts w:ascii="宋体" w:hAnsi="宋体" w:cs="Arial"/>
                <w:color w:val="000000"/>
                <w:sz w:val="22"/>
              </w:rPr>
            </w:pPr>
            <w:r>
              <w:rPr>
                <w:rFonts w:hint="eastAsia" w:cs="Arial"/>
                <w:color w:val="000000"/>
                <w:sz w:val="22"/>
              </w:rPr>
              <w:t xml:space="preserve">            其中：公务用车购置费</w:t>
            </w:r>
          </w:p>
        </w:tc>
        <w:tc>
          <w:tcPr>
            <w:tcW w:w="1275" w:type="dxa"/>
            <w:tcBorders>
              <w:top w:val="single" w:color="auto" w:sz="4" w:space="0"/>
              <w:left w:val="single" w:color="auto" w:sz="4" w:space="0"/>
              <w:bottom w:val="single" w:color="auto" w:sz="4" w:space="0"/>
              <w:right w:val="single" w:color="auto" w:sz="4" w:space="0"/>
            </w:tcBorders>
            <w:noWrap/>
            <w:vAlign w:val="center"/>
          </w:tcPr>
          <w:p w14:paraId="7DC1B1BD">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auto" w:sz="4" w:space="0"/>
              <w:left w:val="single" w:color="auto" w:sz="4" w:space="0"/>
              <w:bottom w:val="single" w:color="auto" w:sz="4" w:space="0"/>
              <w:right w:val="single" w:color="auto" w:sz="4" w:space="0"/>
            </w:tcBorders>
            <w:noWrap/>
            <w:vAlign w:val="center"/>
          </w:tcPr>
          <w:p w14:paraId="079CB9CB">
            <w:pPr>
              <w:jc w:val="right"/>
              <w:rPr>
                <w:rFonts w:ascii="宋体" w:hAnsi="宋体" w:cs="Arial"/>
                <w:color w:val="000000"/>
                <w:sz w:val="22"/>
                <w:szCs w:val="22"/>
              </w:rPr>
            </w:pPr>
            <w:r>
              <w:rPr>
                <w:rFonts w:hint="eastAsia" w:cs="Arial"/>
                <w:color w:val="000000"/>
                <w:sz w:val="22"/>
                <w:szCs w:val="22"/>
              </w:rPr>
              <w:t>0.00</w:t>
            </w:r>
          </w:p>
        </w:tc>
        <w:tc>
          <w:tcPr>
            <w:tcW w:w="1589" w:type="dxa"/>
            <w:tcBorders>
              <w:top w:val="single" w:color="auto" w:sz="4" w:space="0"/>
              <w:left w:val="single" w:color="auto" w:sz="4" w:space="0"/>
              <w:bottom w:val="single" w:color="auto" w:sz="4" w:space="0"/>
              <w:right w:val="single" w:color="auto" w:sz="4" w:space="0"/>
            </w:tcBorders>
            <w:noWrap/>
            <w:vAlign w:val="center"/>
          </w:tcPr>
          <w:p w14:paraId="1ABFB511">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auto" w:sz="4" w:space="0"/>
              <w:left w:val="single" w:color="auto" w:sz="4" w:space="0"/>
              <w:bottom w:val="single" w:color="auto" w:sz="4" w:space="0"/>
              <w:right w:val="single" w:color="auto" w:sz="4" w:space="0"/>
            </w:tcBorders>
            <w:noWrap/>
            <w:vAlign w:val="center"/>
          </w:tcPr>
          <w:p w14:paraId="27153B0E">
            <w:pPr>
              <w:jc w:val="right"/>
              <w:rPr>
                <w:rFonts w:ascii="宋体" w:hAnsi="宋体" w:cs="Arial"/>
                <w:color w:val="000000"/>
                <w:sz w:val="22"/>
                <w:szCs w:val="22"/>
              </w:rPr>
            </w:pPr>
            <w:r>
              <w:rPr>
                <w:rFonts w:hint="eastAsia" w:cs="Arial"/>
                <w:color w:val="000000"/>
                <w:sz w:val="22"/>
                <w:szCs w:val="22"/>
              </w:rPr>
              <w:t>0.00</w:t>
            </w:r>
          </w:p>
        </w:tc>
      </w:tr>
      <w:tr w14:paraId="6B3E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14:paraId="0527EDFA">
            <w:pPr>
              <w:rPr>
                <w:rFonts w:ascii="宋体" w:hAnsi="宋体" w:cs="Arial"/>
                <w:color w:val="000000"/>
                <w:sz w:val="22"/>
              </w:rPr>
            </w:pPr>
            <w:r>
              <w:rPr>
                <w:rFonts w:hint="eastAsia" w:cs="Arial"/>
                <w:color w:val="000000"/>
                <w:sz w:val="22"/>
              </w:rPr>
              <w:t xml:space="preserve">                  公务用车运行维护费</w:t>
            </w:r>
          </w:p>
        </w:tc>
        <w:tc>
          <w:tcPr>
            <w:tcW w:w="1275" w:type="dxa"/>
            <w:tcBorders>
              <w:top w:val="single" w:color="auto" w:sz="4" w:space="0"/>
              <w:left w:val="single" w:color="auto" w:sz="4" w:space="0"/>
              <w:bottom w:val="single" w:color="auto" w:sz="4" w:space="0"/>
              <w:right w:val="single" w:color="auto" w:sz="4" w:space="0"/>
            </w:tcBorders>
            <w:noWrap/>
            <w:vAlign w:val="center"/>
          </w:tcPr>
          <w:p w14:paraId="27B5AB74">
            <w:pPr>
              <w:jc w:val="right"/>
              <w:rPr>
                <w:rFonts w:ascii="宋体" w:hAnsi="宋体" w:cs="Arial"/>
                <w:color w:val="000000"/>
                <w:sz w:val="22"/>
                <w:szCs w:val="22"/>
              </w:rPr>
            </w:pPr>
            <w:r>
              <w:rPr>
                <w:rFonts w:cs="Arial"/>
                <w:color w:val="000000"/>
                <w:sz w:val="22"/>
                <w:szCs w:val="22"/>
              </w:rPr>
              <w:t>32,398.00</w:t>
            </w:r>
          </w:p>
        </w:tc>
        <w:tc>
          <w:tcPr>
            <w:tcW w:w="1418" w:type="dxa"/>
            <w:tcBorders>
              <w:top w:val="single" w:color="auto" w:sz="4" w:space="0"/>
              <w:left w:val="single" w:color="auto" w:sz="4" w:space="0"/>
              <w:bottom w:val="single" w:color="auto" w:sz="4" w:space="0"/>
              <w:right w:val="single" w:color="auto" w:sz="4" w:space="0"/>
            </w:tcBorders>
            <w:noWrap/>
            <w:vAlign w:val="center"/>
          </w:tcPr>
          <w:p w14:paraId="656CBA44">
            <w:pPr>
              <w:jc w:val="right"/>
              <w:rPr>
                <w:rFonts w:ascii="宋体" w:hAnsi="宋体" w:cs="Arial"/>
                <w:color w:val="000000"/>
                <w:sz w:val="22"/>
                <w:szCs w:val="22"/>
              </w:rPr>
            </w:pPr>
            <w:r>
              <w:rPr>
                <w:rFonts w:cs="Arial"/>
                <w:color w:val="000000"/>
                <w:sz w:val="22"/>
                <w:szCs w:val="22"/>
              </w:rPr>
              <w:t>30,505.00</w:t>
            </w:r>
          </w:p>
        </w:tc>
        <w:tc>
          <w:tcPr>
            <w:tcW w:w="1589" w:type="dxa"/>
            <w:tcBorders>
              <w:top w:val="single" w:color="auto" w:sz="4" w:space="0"/>
              <w:left w:val="single" w:color="auto" w:sz="4" w:space="0"/>
              <w:bottom w:val="single" w:color="auto" w:sz="4" w:space="0"/>
              <w:right w:val="single" w:color="auto" w:sz="4" w:space="0"/>
            </w:tcBorders>
            <w:noWrap/>
            <w:vAlign w:val="center"/>
          </w:tcPr>
          <w:p w14:paraId="4DF857DD">
            <w:pPr>
              <w:jc w:val="right"/>
              <w:rPr>
                <w:rFonts w:ascii="宋体" w:hAnsi="宋体" w:cs="Arial"/>
                <w:color w:val="000000"/>
                <w:sz w:val="22"/>
                <w:szCs w:val="22"/>
              </w:rPr>
            </w:pPr>
            <w:r>
              <w:rPr>
                <w:rFonts w:cs="Arial"/>
                <w:color w:val="000000"/>
                <w:sz w:val="22"/>
                <w:szCs w:val="22"/>
              </w:rPr>
              <w:t>-1,893.00</w:t>
            </w:r>
          </w:p>
        </w:tc>
        <w:tc>
          <w:tcPr>
            <w:tcW w:w="1155" w:type="dxa"/>
            <w:tcBorders>
              <w:top w:val="single" w:color="auto" w:sz="4" w:space="0"/>
              <w:left w:val="single" w:color="auto" w:sz="4" w:space="0"/>
              <w:bottom w:val="single" w:color="auto" w:sz="4" w:space="0"/>
              <w:right w:val="single" w:color="auto" w:sz="4" w:space="0"/>
            </w:tcBorders>
            <w:noWrap/>
            <w:vAlign w:val="center"/>
          </w:tcPr>
          <w:p w14:paraId="145225F8">
            <w:pPr>
              <w:jc w:val="right"/>
              <w:rPr>
                <w:rFonts w:ascii="宋体" w:hAnsi="宋体" w:cs="Arial"/>
                <w:color w:val="000000"/>
                <w:sz w:val="22"/>
                <w:szCs w:val="22"/>
              </w:rPr>
            </w:pPr>
            <w:r>
              <w:rPr>
                <w:rFonts w:cs="Arial"/>
                <w:color w:val="000000"/>
                <w:sz w:val="22"/>
                <w:szCs w:val="22"/>
              </w:rPr>
              <w:t>-5.84</w:t>
            </w:r>
            <w:r>
              <w:rPr>
                <w:rFonts w:hint="eastAsia" w:cs="Arial"/>
                <w:color w:val="000000"/>
                <w:sz w:val="22"/>
                <w:szCs w:val="22"/>
              </w:rPr>
              <w:t>%</w:t>
            </w:r>
          </w:p>
        </w:tc>
      </w:tr>
      <w:tr w14:paraId="2D3C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14:paraId="26C8A026">
            <w:pPr>
              <w:jc w:val="center"/>
              <w:rPr>
                <w:rFonts w:ascii="宋体" w:hAnsi="宋体" w:cs="Arial"/>
                <w:color w:val="000000"/>
                <w:sz w:val="22"/>
              </w:rPr>
            </w:pPr>
            <w:r>
              <w:rPr>
                <w:rFonts w:hint="eastAsia" w:cs="Arial"/>
                <w:color w:val="000000"/>
                <w:sz w:val="22"/>
              </w:rPr>
              <w:t>公务接待费</w:t>
            </w:r>
          </w:p>
        </w:tc>
        <w:tc>
          <w:tcPr>
            <w:tcW w:w="1275" w:type="dxa"/>
            <w:tcBorders>
              <w:top w:val="single" w:color="auto" w:sz="4" w:space="0"/>
              <w:left w:val="single" w:color="auto" w:sz="4" w:space="0"/>
              <w:bottom w:val="single" w:color="auto" w:sz="4" w:space="0"/>
              <w:right w:val="single" w:color="auto" w:sz="4" w:space="0"/>
            </w:tcBorders>
            <w:noWrap/>
            <w:vAlign w:val="center"/>
          </w:tcPr>
          <w:p w14:paraId="1E2709FC">
            <w:pPr>
              <w:jc w:val="right"/>
              <w:rPr>
                <w:rFonts w:ascii="宋体" w:hAnsi="宋体" w:cs="Arial"/>
                <w:color w:val="000000"/>
                <w:sz w:val="22"/>
                <w:szCs w:val="22"/>
              </w:rPr>
            </w:pPr>
            <w:r>
              <w:rPr>
                <w:rFonts w:cs="Arial"/>
                <w:color w:val="000000"/>
                <w:sz w:val="22"/>
                <w:szCs w:val="22"/>
              </w:rPr>
              <w:t>95,299.00</w:t>
            </w:r>
          </w:p>
        </w:tc>
        <w:tc>
          <w:tcPr>
            <w:tcW w:w="1418" w:type="dxa"/>
            <w:tcBorders>
              <w:top w:val="single" w:color="auto" w:sz="4" w:space="0"/>
              <w:left w:val="single" w:color="auto" w:sz="4" w:space="0"/>
              <w:bottom w:val="single" w:color="auto" w:sz="4" w:space="0"/>
              <w:right w:val="single" w:color="auto" w:sz="4" w:space="0"/>
            </w:tcBorders>
            <w:noWrap/>
            <w:vAlign w:val="center"/>
          </w:tcPr>
          <w:p w14:paraId="259AFDE5">
            <w:pPr>
              <w:jc w:val="right"/>
              <w:rPr>
                <w:rFonts w:ascii="宋体" w:hAnsi="宋体" w:cs="Arial"/>
                <w:color w:val="000000"/>
                <w:sz w:val="22"/>
                <w:szCs w:val="22"/>
              </w:rPr>
            </w:pPr>
            <w:r>
              <w:rPr>
                <w:rFonts w:cs="Arial"/>
                <w:color w:val="000000"/>
                <w:sz w:val="22"/>
                <w:szCs w:val="22"/>
              </w:rPr>
              <w:t>57,180.00</w:t>
            </w:r>
          </w:p>
        </w:tc>
        <w:tc>
          <w:tcPr>
            <w:tcW w:w="1589" w:type="dxa"/>
            <w:tcBorders>
              <w:top w:val="single" w:color="auto" w:sz="4" w:space="0"/>
              <w:left w:val="single" w:color="auto" w:sz="4" w:space="0"/>
              <w:bottom w:val="single" w:color="auto" w:sz="4" w:space="0"/>
              <w:right w:val="single" w:color="auto" w:sz="4" w:space="0"/>
            </w:tcBorders>
            <w:noWrap/>
            <w:vAlign w:val="center"/>
          </w:tcPr>
          <w:p w14:paraId="11719066">
            <w:pPr>
              <w:jc w:val="right"/>
              <w:rPr>
                <w:rFonts w:ascii="宋体" w:hAnsi="宋体" w:cs="Arial"/>
                <w:color w:val="000000"/>
                <w:sz w:val="22"/>
                <w:szCs w:val="22"/>
              </w:rPr>
            </w:pPr>
            <w:r>
              <w:rPr>
                <w:rFonts w:cs="Arial"/>
                <w:color w:val="000000"/>
                <w:sz w:val="22"/>
                <w:szCs w:val="22"/>
              </w:rPr>
              <w:t>-38,119.00</w:t>
            </w:r>
          </w:p>
        </w:tc>
        <w:tc>
          <w:tcPr>
            <w:tcW w:w="1155" w:type="dxa"/>
            <w:tcBorders>
              <w:top w:val="single" w:color="auto" w:sz="4" w:space="0"/>
              <w:left w:val="single" w:color="auto" w:sz="4" w:space="0"/>
              <w:bottom w:val="single" w:color="auto" w:sz="4" w:space="0"/>
              <w:right w:val="single" w:color="auto" w:sz="4" w:space="0"/>
            </w:tcBorders>
            <w:noWrap/>
            <w:vAlign w:val="center"/>
          </w:tcPr>
          <w:p w14:paraId="011773EC">
            <w:pPr>
              <w:jc w:val="right"/>
              <w:rPr>
                <w:rFonts w:ascii="宋体" w:hAnsi="宋体" w:cs="Arial"/>
                <w:color w:val="000000"/>
                <w:sz w:val="22"/>
                <w:szCs w:val="22"/>
              </w:rPr>
            </w:pPr>
            <w:r>
              <w:rPr>
                <w:rFonts w:cs="Arial"/>
                <w:color w:val="000000"/>
                <w:sz w:val="22"/>
                <w:szCs w:val="22"/>
              </w:rPr>
              <w:t>-40.00</w:t>
            </w:r>
            <w:r>
              <w:rPr>
                <w:rFonts w:hint="eastAsia" w:cs="Arial"/>
                <w:color w:val="000000"/>
                <w:sz w:val="22"/>
                <w:szCs w:val="22"/>
              </w:rPr>
              <w:t>%</w:t>
            </w:r>
          </w:p>
        </w:tc>
      </w:tr>
    </w:tbl>
    <w:p w14:paraId="6A18205D">
      <w:pPr>
        <w:spacing w:line="560" w:lineRule="exact"/>
        <w:ind w:firstLine="643" w:firstLineChars="200"/>
        <w:rPr>
          <w:rFonts w:ascii="仿宋" w:hAnsi="仿宋" w:eastAsia="仿宋" w:cs="楷体"/>
          <w:bCs/>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该项指标得分为满分5分。</w:t>
      </w:r>
    </w:p>
    <w:p w14:paraId="2B79A8AE">
      <w:pPr>
        <w:spacing w:line="560" w:lineRule="exact"/>
        <w:ind w:firstLine="562"/>
        <w:rPr>
          <w:rFonts w:ascii="仿宋" w:hAnsi="仿宋" w:eastAsia="仿宋" w:cs="楷体"/>
          <w:b/>
          <w:sz w:val="32"/>
          <w:szCs w:val="32"/>
        </w:rPr>
      </w:pPr>
      <w:r>
        <w:rPr>
          <w:rFonts w:hint="eastAsia" w:ascii="仿宋" w:hAnsi="仿宋" w:eastAsia="仿宋" w:cs="楷体"/>
          <w:b/>
          <w:sz w:val="32"/>
          <w:szCs w:val="32"/>
        </w:rPr>
        <w:t>2.3.1.</w:t>
      </w:r>
      <w:r>
        <w:rPr>
          <w:rFonts w:ascii="仿宋" w:hAnsi="仿宋" w:eastAsia="仿宋" w:cs="楷体"/>
          <w:b/>
          <w:sz w:val="32"/>
          <w:szCs w:val="32"/>
        </w:rPr>
        <w:t>2</w:t>
      </w:r>
      <w:r>
        <w:rPr>
          <w:rFonts w:hint="eastAsia" w:ascii="仿宋" w:hAnsi="仿宋" w:eastAsia="仿宋" w:cs="楷体"/>
          <w:b/>
          <w:sz w:val="32"/>
          <w:szCs w:val="32"/>
        </w:rPr>
        <w:t xml:space="preserve">  项目经费成本控制</w:t>
      </w:r>
    </w:p>
    <w:p w14:paraId="78CB3ADD">
      <w:pPr>
        <w:spacing w:line="560" w:lineRule="exact"/>
        <w:ind w:firstLine="643" w:firstLineChars="200"/>
        <w:rPr>
          <w:rFonts w:ascii="仿宋" w:hAnsi="仿宋" w:eastAsia="仿宋" w:cs="仿宋"/>
          <w:sz w:val="32"/>
          <w:szCs w:val="32"/>
        </w:rPr>
      </w:pPr>
      <w:r>
        <w:rPr>
          <w:rFonts w:hint="eastAsia" w:ascii="仿宋" w:hAnsi="仿宋" w:eastAsia="仿宋"/>
          <w:b/>
          <w:sz w:val="32"/>
          <w:szCs w:val="32"/>
        </w:rPr>
        <w:t>项目经费变动率（</w:t>
      </w:r>
      <w:r>
        <w:rPr>
          <w:rFonts w:hint="eastAsia" w:ascii="仿宋" w:hAnsi="仿宋" w:eastAsia="仿宋" w:cs="宋体"/>
          <w:b/>
          <w:sz w:val="32"/>
          <w:szCs w:val="32"/>
        </w:rPr>
        <w:t>指标标准分值10分）</w:t>
      </w:r>
    </w:p>
    <w:bookmarkEnd w:id="46"/>
    <w:p w14:paraId="445F645B">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b/>
          <w:sz w:val="32"/>
          <w:szCs w:val="32"/>
        </w:rPr>
        <w:t>指标分析：</w:t>
      </w:r>
      <w:r>
        <w:rPr>
          <w:rFonts w:hint="eastAsia" w:ascii="仿宋" w:hAnsi="仿宋" w:eastAsia="仿宋" w:cs="仿宋"/>
          <w:sz w:val="32"/>
          <w:szCs w:val="32"/>
        </w:rPr>
        <w:t>根据崇阳县天城镇人民政府2020年预决算相关资料，2020年项目经费支出464.21万元，比2019年项目经费支出666.41万元减少202.2万元，项目经费变动率为-30.34%。</w:t>
      </w:r>
    </w:p>
    <w:p w14:paraId="6B8CC664">
      <w:pPr>
        <w:spacing w:line="560" w:lineRule="exact"/>
        <w:ind w:firstLine="643" w:firstLineChars="20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该项指标得分为满分10分。</w:t>
      </w:r>
    </w:p>
    <w:p w14:paraId="43CF52AB">
      <w:pPr>
        <w:spacing w:line="560" w:lineRule="exact"/>
        <w:ind w:firstLine="643" w:firstLineChars="200"/>
        <w:rPr>
          <w:rFonts w:ascii="楷体" w:hAnsi="楷体" w:eastAsia="楷体" w:cs="楷体"/>
          <w:b/>
          <w:sz w:val="32"/>
          <w:szCs w:val="32"/>
        </w:rPr>
      </w:pPr>
      <w:r>
        <w:rPr>
          <w:rFonts w:hint="eastAsia" w:ascii="楷体" w:hAnsi="楷体" w:eastAsia="楷体" w:cs="楷体"/>
          <w:b/>
          <w:sz w:val="32"/>
          <w:szCs w:val="32"/>
        </w:rPr>
        <w:t>2.3.2  管理效率分析</w:t>
      </w:r>
    </w:p>
    <w:p w14:paraId="454EBF33">
      <w:pPr>
        <w:spacing w:line="560" w:lineRule="exact"/>
        <w:ind w:firstLine="636" w:firstLineChars="198"/>
        <w:rPr>
          <w:rFonts w:ascii="仿宋" w:hAnsi="仿宋" w:eastAsia="仿宋" w:cs="楷体"/>
          <w:b/>
          <w:sz w:val="32"/>
          <w:szCs w:val="32"/>
        </w:rPr>
      </w:pPr>
      <w:bookmarkStart w:id="47" w:name="_Hlk64972001"/>
      <w:r>
        <w:rPr>
          <w:rFonts w:hint="eastAsia" w:ascii="仿宋" w:hAnsi="仿宋" w:eastAsia="仿宋" w:cs="楷体"/>
          <w:b/>
          <w:sz w:val="32"/>
          <w:szCs w:val="32"/>
        </w:rPr>
        <w:t>2.3.2.1  战略规划管理</w:t>
      </w:r>
    </w:p>
    <w:bookmarkEnd w:id="47"/>
    <w:p w14:paraId="3114730E">
      <w:pPr>
        <w:spacing w:line="560" w:lineRule="exact"/>
        <w:rPr>
          <w:rFonts w:ascii="仿宋" w:hAnsi="仿宋" w:eastAsia="仿宋"/>
          <w:b/>
          <w:sz w:val="32"/>
          <w:szCs w:val="32"/>
        </w:rPr>
      </w:pPr>
      <w:r>
        <w:rPr>
          <w:rFonts w:hint="eastAsia" w:ascii="仿宋" w:hAnsi="仿宋" w:eastAsia="仿宋"/>
          <w:bCs/>
          <w:sz w:val="32"/>
          <w:szCs w:val="32"/>
        </w:rPr>
        <w:t xml:space="preserve">   </w:t>
      </w:r>
      <w:r>
        <w:rPr>
          <w:rFonts w:hint="eastAsia" w:ascii="仿宋" w:hAnsi="仿宋" w:eastAsia="仿宋"/>
          <w:b/>
          <w:sz w:val="32"/>
          <w:szCs w:val="32"/>
        </w:rPr>
        <w:t xml:space="preserve"> </w:t>
      </w:r>
      <w:bookmarkStart w:id="48" w:name="_Hlk65070591"/>
      <w:r>
        <w:rPr>
          <w:rFonts w:hint="eastAsia" w:ascii="仿宋" w:hAnsi="仿宋" w:eastAsia="仿宋"/>
          <w:b/>
          <w:sz w:val="32"/>
          <w:szCs w:val="32"/>
        </w:rPr>
        <w:t>a）</w:t>
      </w:r>
      <w:bookmarkEnd w:id="48"/>
      <w:r>
        <w:rPr>
          <w:rFonts w:hint="eastAsia" w:ascii="仿宋" w:hAnsi="仿宋" w:eastAsia="仿宋"/>
          <w:b/>
          <w:sz w:val="32"/>
          <w:szCs w:val="32"/>
        </w:rPr>
        <w:t>战略规范相符性（标准分值</w:t>
      </w:r>
      <w:r>
        <w:rPr>
          <w:rFonts w:ascii="仿宋" w:hAnsi="仿宋" w:eastAsia="仿宋"/>
          <w:b/>
          <w:sz w:val="32"/>
          <w:szCs w:val="32"/>
        </w:rPr>
        <w:t>3</w:t>
      </w:r>
      <w:r>
        <w:rPr>
          <w:rFonts w:hint="eastAsia" w:ascii="仿宋" w:hAnsi="仿宋" w:eastAsia="仿宋"/>
          <w:b/>
          <w:sz w:val="32"/>
          <w:szCs w:val="32"/>
        </w:rPr>
        <w:t>分）</w:t>
      </w:r>
    </w:p>
    <w:p w14:paraId="143CFF50">
      <w:pPr>
        <w:spacing w:line="560" w:lineRule="exact"/>
        <w:ind w:firstLine="643" w:firstLineChars="200"/>
        <w:rPr>
          <w:rFonts w:ascii="仿宋" w:hAnsi="仿宋" w:eastAsia="仿宋"/>
          <w:sz w:val="32"/>
          <w:szCs w:val="32"/>
        </w:rPr>
      </w:pPr>
      <w:r>
        <w:rPr>
          <w:rFonts w:hint="eastAsia" w:ascii="仿宋" w:hAnsi="仿宋" w:eastAsia="仿宋"/>
          <w:b/>
          <w:sz w:val="32"/>
          <w:szCs w:val="32"/>
        </w:rPr>
        <w:t>评价分析：</w:t>
      </w:r>
      <w:r>
        <w:rPr>
          <w:rFonts w:hint="eastAsia" w:ascii="仿宋" w:hAnsi="仿宋" w:eastAsia="仿宋"/>
          <w:sz w:val="32"/>
          <w:szCs w:val="32"/>
        </w:rPr>
        <w:t>通过查看天城镇人民政府2020年工作目标，评价分析认为该部门活动目标与部门履职、年度工作任务的情况相符。部门活动的设定在部门所确定的职责范围之内；部门活动符合省委、省政府的发展规划及本部门的年度工作安排与发展规划</w:t>
      </w:r>
      <w:r>
        <w:rPr>
          <w:rFonts w:hint="eastAsia" w:ascii="仿宋" w:hAnsi="仿宋" w:eastAsia="仿宋"/>
          <w:bCs/>
          <w:sz w:val="32"/>
          <w:szCs w:val="32"/>
        </w:rPr>
        <w:t>。</w:t>
      </w:r>
    </w:p>
    <w:p w14:paraId="0F02DB33">
      <w:pPr>
        <w:spacing w:line="560" w:lineRule="exact"/>
        <w:ind w:firstLine="643" w:firstLineChars="20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该项指标得满分</w:t>
      </w:r>
      <w:r>
        <w:rPr>
          <w:rFonts w:ascii="仿宋" w:hAnsi="仿宋" w:eastAsia="仿宋"/>
          <w:sz w:val="32"/>
          <w:szCs w:val="32"/>
        </w:rPr>
        <w:t>3</w:t>
      </w:r>
      <w:r>
        <w:rPr>
          <w:rFonts w:hint="eastAsia" w:ascii="仿宋" w:hAnsi="仿宋" w:eastAsia="仿宋"/>
          <w:sz w:val="32"/>
          <w:szCs w:val="32"/>
        </w:rPr>
        <w:t>分。</w:t>
      </w:r>
    </w:p>
    <w:p w14:paraId="725B9D2B">
      <w:pPr>
        <w:spacing w:line="560" w:lineRule="exact"/>
        <w:ind w:firstLine="643" w:firstLineChars="200"/>
        <w:rPr>
          <w:rFonts w:ascii="仿宋" w:hAnsi="仿宋" w:eastAsia="仿宋"/>
          <w:bCs/>
          <w:sz w:val="32"/>
          <w:szCs w:val="32"/>
        </w:rPr>
      </w:pPr>
      <w:r>
        <w:rPr>
          <w:rFonts w:hint="eastAsia" w:ascii="仿宋" w:hAnsi="仿宋" w:eastAsia="仿宋"/>
          <w:b/>
          <w:sz w:val="32"/>
          <w:szCs w:val="32"/>
        </w:rPr>
        <w:t>b）绩效目标科学性（标准分值3分</w:t>
      </w:r>
      <w:r>
        <w:rPr>
          <w:rFonts w:hint="eastAsia" w:ascii="仿宋" w:hAnsi="仿宋" w:eastAsia="仿宋"/>
          <w:bCs/>
          <w:sz w:val="32"/>
          <w:szCs w:val="32"/>
        </w:rPr>
        <w:t>）</w:t>
      </w:r>
    </w:p>
    <w:p w14:paraId="59B6205B">
      <w:pPr>
        <w:spacing w:line="560" w:lineRule="exact"/>
        <w:ind w:firstLine="643" w:firstLineChars="200"/>
        <w:rPr>
          <w:rFonts w:ascii="仿宋" w:hAnsi="仿宋" w:eastAsia="仿宋"/>
          <w:bCs/>
          <w:sz w:val="32"/>
          <w:szCs w:val="32"/>
        </w:rPr>
      </w:pPr>
      <w:bookmarkStart w:id="49" w:name="_Hlk64974159"/>
      <w:r>
        <w:rPr>
          <w:rFonts w:hint="eastAsia" w:ascii="仿宋" w:hAnsi="仿宋" w:eastAsia="仿宋"/>
          <w:b/>
          <w:sz w:val="32"/>
          <w:szCs w:val="32"/>
        </w:rPr>
        <w:t>评价分析：</w:t>
      </w:r>
      <w:r>
        <w:rPr>
          <w:rFonts w:hint="eastAsia" w:ascii="仿宋" w:hAnsi="仿宋" w:eastAsia="仿宋"/>
          <w:bCs/>
          <w:sz w:val="32"/>
          <w:szCs w:val="32"/>
        </w:rPr>
        <w:t>2020年天城镇人民政府部门整体支出未开展绩效管理，未设置相应绩效指标。</w:t>
      </w:r>
      <w:r>
        <w:rPr>
          <w:rFonts w:ascii="仿宋" w:hAnsi="仿宋" w:eastAsia="仿宋"/>
          <w:bCs/>
          <w:sz w:val="32"/>
          <w:szCs w:val="32"/>
        </w:rPr>
        <w:t xml:space="preserve"> </w:t>
      </w:r>
    </w:p>
    <w:p w14:paraId="52FB353D">
      <w:pPr>
        <w:spacing w:line="560" w:lineRule="exact"/>
        <w:ind w:firstLine="643" w:firstLineChars="200"/>
        <w:rPr>
          <w:rFonts w:ascii="仿宋" w:hAnsi="仿宋" w:eastAsia="仿宋"/>
          <w:b/>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该项指标得分为0分。</w:t>
      </w:r>
    </w:p>
    <w:p w14:paraId="7F1ABCFC">
      <w:pPr>
        <w:spacing w:line="560" w:lineRule="exact"/>
        <w:ind w:firstLine="643" w:firstLineChars="200"/>
        <w:rPr>
          <w:rFonts w:ascii="仿宋" w:hAnsi="仿宋" w:eastAsia="仿宋"/>
          <w:b/>
          <w:sz w:val="32"/>
          <w:szCs w:val="32"/>
        </w:rPr>
      </w:pPr>
      <w:r>
        <w:rPr>
          <w:rFonts w:hint="eastAsia" w:ascii="仿宋" w:hAnsi="仿宋" w:eastAsia="仿宋"/>
          <w:b/>
          <w:sz w:val="32"/>
          <w:szCs w:val="32"/>
        </w:rPr>
        <w:t>c）预算编制科学性（标准分值4分）</w:t>
      </w:r>
    </w:p>
    <w:bookmarkEnd w:id="49"/>
    <w:p w14:paraId="63798058">
      <w:pPr>
        <w:spacing w:line="560" w:lineRule="exact"/>
        <w:ind w:firstLine="643" w:firstLineChars="200"/>
        <w:rPr>
          <w:rFonts w:ascii="仿宋" w:hAnsi="仿宋" w:eastAsia="仿宋"/>
          <w:bCs/>
          <w:sz w:val="30"/>
          <w:szCs w:val="30"/>
        </w:rPr>
      </w:pPr>
      <w:r>
        <w:rPr>
          <w:rFonts w:hint="eastAsia" w:ascii="仿宋" w:hAnsi="仿宋" w:eastAsia="仿宋"/>
          <w:b/>
          <w:sz w:val="32"/>
          <w:szCs w:val="32"/>
        </w:rPr>
        <w:t>评价分析：</w:t>
      </w:r>
      <w:r>
        <w:rPr>
          <w:rFonts w:hint="eastAsia" w:ascii="仿宋" w:hAnsi="仿宋" w:eastAsia="仿宋"/>
          <w:sz w:val="32"/>
          <w:szCs w:val="32"/>
        </w:rPr>
        <w:t>天城镇人民政府编制预算准确率存在偏差。一是与年初预算的对应性差，年度中间普遍存在预算调整现象。二是部门预算执行率偏低，从当前公开的部门预决算数据来看，部门整体支出执行率为73.04%，年末结余865.18万元。三是基本支出、公共经费及项目经费之间相互挤占现象屡见不鲜，尤其是日常公用支出挤占部门项目经费现象较为普遍。</w:t>
      </w:r>
    </w:p>
    <w:p w14:paraId="7A39CDE1">
      <w:pPr>
        <w:spacing w:line="560" w:lineRule="exact"/>
        <w:ind w:firstLine="56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该指标得分为0分。</w:t>
      </w:r>
    </w:p>
    <w:p w14:paraId="3B399F5C">
      <w:pPr>
        <w:spacing w:line="560" w:lineRule="exact"/>
        <w:ind w:firstLine="636" w:firstLineChars="198"/>
        <w:rPr>
          <w:rFonts w:ascii="仿宋" w:hAnsi="仿宋" w:eastAsia="仿宋" w:cs="楷体"/>
          <w:b/>
          <w:sz w:val="32"/>
          <w:szCs w:val="32"/>
        </w:rPr>
      </w:pPr>
      <w:r>
        <w:rPr>
          <w:rFonts w:hint="eastAsia" w:ascii="仿宋" w:hAnsi="仿宋" w:eastAsia="仿宋" w:cs="楷体"/>
          <w:b/>
          <w:sz w:val="32"/>
          <w:szCs w:val="32"/>
        </w:rPr>
        <w:t>2.3.2.2  基础管理</w:t>
      </w:r>
    </w:p>
    <w:p w14:paraId="4E3FED05">
      <w:pPr>
        <w:spacing w:line="560" w:lineRule="exact"/>
        <w:rPr>
          <w:rFonts w:ascii="仿宋" w:hAnsi="仿宋" w:eastAsia="仿宋"/>
          <w:b/>
          <w:sz w:val="32"/>
          <w:szCs w:val="32"/>
        </w:rPr>
      </w:pPr>
      <w:r>
        <w:rPr>
          <w:rFonts w:hint="eastAsia" w:ascii="仿宋" w:hAnsi="仿宋" w:eastAsia="仿宋"/>
          <w:bCs/>
          <w:sz w:val="32"/>
          <w:szCs w:val="32"/>
        </w:rPr>
        <w:t xml:space="preserve">   </w:t>
      </w:r>
      <w:r>
        <w:rPr>
          <w:rFonts w:hint="eastAsia" w:ascii="仿宋" w:hAnsi="仿宋" w:eastAsia="仿宋"/>
          <w:b/>
          <w:sz w:val="32"/>
          <w:szCs w:val="32"/>
        </w:rPr>
        <w:t xml:space="preserve"> a）预算管理规范性（标准分值</w:t>
      </w:r>
      <w:r>
        <w:rPr>
          <w:rFonts w:ascii="仿宋" w:hAnsi="仿宋" w:eastAsia="仿宋"/>
          <w:b/>
          <w:sz w:val="32"/>
          <w:szCs w:val="32"/>
        </w:rPr>
        <w:t>3</w:t>
      </w:r>
      <w:r>
        <w:rPr>
          <w:rFonts w:hint="eastAsia" w:ascii="仿宋" w:hAnsi="仿宋" w:eastAsia="仿宋"/>
          <w:b/>
          <w:sz w:val="32"/>
          <w:szCs w:val="32"/>
        </w:rPr>
        <w:t>分）</w:t>
      </w:r>
    </w:p>
    <w:p w14:paraId="03CEFE72">
      <w:pPr>
        <w:spacing w:line="560" w:lineRule="exact"/>
        <w:ind w:firstLine="643" w:firstLineChars="200"/>
        <w:rPr>
          <w:rFonts w:ascii="仿宋" w:hAnsi="仿宋" w:eastAsia="仿宋"/>
          <w:sz w:val="32"/>
          <w:szCs w:val="32"/>
        </w:rPr>
      </w:pPr>
      <w:r>
        <w:rPr>
          <w:rFonts w:hint="eastAsia" w:ascii="仿宋" w:hAnsi="仿宋" w:eastAsia="仿宋"/>
          <w:b/>
          <w:sz w:val="32"/>
          <w:szCs w:val="32"/>
        </w:rPr>
        <w:t>评价分析：</w:t>
      </w:r>
      <w:r>
        <w:rPr>
          <w:rFonts w:hint="eastAsia" w:ascii="仿宋" w:hAnsi="仿宋" w:eastAsia="仿宋"/>
          <w:sz w:val="32"/>
          <w:szCs w:val="32"/>
        </w:rPr>
        <w:t>根据《预算法》及《县人民政府办公室关于加强政府预算执行管理及审批程序的通知》（崇政办发〔2017〕42号），天城镇人民政府具有较为完善的预算资金管理办法，相关管理制度均合法、合规、完整，并且得到有效执行</w:t>
      </w:r>
      <w:r>
        <w:rPr>
          <w:rFonts w:hint="eastAsia" w:ascii="仿宋" w:hAnsi="仿宋" w:eastAsia="仿宋"/>
          <w:bCs/>
          <w:sz w:val="32"/>
          <w:szCs w:val="32"/>
        </w:rPr>
        <w:t>。</w:t>
      </w:r>
    </w:p>
    <w:p w14:paraId="461FC09D">
      <w:pPr>
        <w:spacing w:line="560" w:lineRule="exact"/>
        <w:ind w:firstLine="643" w:firstLineChars="20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该项指标得满分</w:t>
      </w:r>
      <w:r>
        <w:rPr>
          <w:rFonts w:ascii="仿宋" w:hAnsi="仿宋" w:eastAsia="仿宋"/>
          <w:sz w:val="32"/>
          <w:szCs w:val="32"/>
        </w:rPr>
        <w:t>3</w:t>
      </w:r>
      <w:r>
        <w:rPr>
          <w:rFonts w:hint="eastAsia" w:ascii="仿宋" w:hAnsi="仿宋" w:eastAsia="仿宋"/>
          <w:sz w:val="32"/>
          <w:szCs w:val="32"/>
        </w:rPr>
        <w:t>分。</w:t>
      </w:r>
    </w:p>
    <w:p w14:paraId="6F42F3A0">
      <w:pPr>
        <w:spacing w:line="560" w:lineRule="exact"/>
        <w:ind w:firstLine="643" w:firstLineChars="200"/>
        <w:rPr>
          <w:rFonts w:ascii="仿宋" w:hAnsi="仿宋" w:eastAsia="仿宋"/>
          <w:bCs/>
          <w:sz w:val="32"/>
          <w:szCs w:val="32"/>
        </w:rPr>
      </w:pPr>
      <w:r>
        <w:rPr>
          <w:rFonts w:hint="eastAsia" w:ascii="仿宋" w:hAnsi="仿宋" w:eastAsia="仿宋"/>
          <w:b/>
          <w:sz w:val="32"/>
          <w:szCs w:val="32"/>
        </w:rPr>
        <w:t>b）绩效管理规范性（标准分值4分</w:t>
      </w:r>
      <w:r>
        <w:rPr>
          <w:rFonts w:hint="eastAsia" w:ascii="仿宋" w:hAnsi="仿宋" w:eastAsia="仿宋"/>
          <w:bCs/>
          <w:sz w:val="32"/>
          <w:szCs w:val="32"/>
        </w:rPr>
        <w:t>）</w:t>
      </w:r>
    </w:p>
    <w:p w14:paraId="6C2A3E3E">
      <w:pPr>
        <w:spacing w:line="560" w:lineRule="exact"/>
        <w:ind w:firstLine="643" w:firstLineChars="200"/>
        <w:rPr>
          <w:rFonts w:ascii="仿宋" w:hAnsi="仿宋" w:eastAsia="仿宋"/>
          <w:bCs/>
          <w:sz w:val="32"/>
          <w:szCs w:val="32"/>
        </w:rPr>
      </w:pPr>
      <w:r>
        <w:rPr>
          <w:rFonts w:hint="eastAsia" w:ascii="仿宋" w:hAnsi="仿宋" w:eastAsia="仿宋"/>
          <w:b/>
          <w:sz w:val="32"/>
          <w:szCs w:val="32"/>
        </w:rPr>
        <w:t>评价分析：</w:t>
      </w:r>
      <w:r>
        <w:rPr>
          <w:rFonts w:hint="eastAsia" w:ascii="仿宋" w:hAnsi="仿宋" w:eastAsia="仿宋"/>
          <w:bCs/>
          <w:sz w:val="32"/>
          <w:szCs w:val="32"/>
        </w:rPr>
        <w:t>按照《省财政厅关于推进全面实施预算绩效管理工作的通知》(鄂财绩发〔2019〕10号)及《崇阳县全面实施预算绩效管理实施方案》（崇政办函〔2020〕33号）要求，该镇初步形成“注重结果导向、强调成本效益、硬化责任约束”的预算管理机制，但是未安排专门的绩效管理的职能部门负责实施，未能有效落实县里下发的绩效管理实施方案。</w:t>
      </w:r>
      <w:r>
        <w:rPr>
          <w:rFonts w:ascii="仿宋" w:hAnsi="仿宋" w:eastAsia="仿宋"/>
          <w:bCs/>
          <w:sz w:val="32"/>
          <w:szCs w:val="32"/>
        </w:rPr>
        <w:t xml:space="preserve"> </w:t>
      </w:r>
    </w:p>
    <w:p w14:paraId="624699A7">
      <w:pPr>
        <w:spacing w:line="560" w:lineRule="exact"/>
        <w:ind w:firstLine="56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该项指标得分为0分。</w:t>
      </w:r>
    </w:p>
    <w:p w14:paraId="67AC5EF3">
      <w:pPr>
        <w:spacing w:line="560" w:lineRule="exact"/>
        <w:ind w:firstLine="643" w:firstLineChars="200"/>
        <w:rPr>
          <w:rFonts w:ascii="仿宋" w:hAnsi="仿宋" w:eastAsia="仿宋"/>
          <w:b/>
          <w:sz w:val="32"/>
          <w:szCs w:val="32"/>
        </w:rPr>
      </w:pPr>
      <w:r>
        <w:rPr>
          <w:rFonts w:hint="eastAsia" w:ascii="仿宋" w:hAnsi="仿宋" w:eastAsia="仿宋"/>
          <w:b/>
          <w:sz w:val="32"/>
          <w:szCs w:val="32"/>
        </w:rPr>
        <w:t>c）财务与资产管理规范性（标准分值3分）</w:t>
      </w:r>
    </w:p>
    <w:p w14:paraId="3020BC9A">
      <w:pPr>
        <w:spacing w:line="560" w:lineRule="exact"/>
        <w:ind w:firstLine="600"/>
        <w:rPr>
          <w:rFonts w:ascii="仿宋" w:hAnsi="仿宋" w:eastAsia="仿宋"/>
          <w:bCs/>
          <w:sz w:val="32"/>
          <w:szCs w:val="32"/>
        </w:rPr>
      </w:pPr>
      <w:r>
        <w:rPr>
          <w:rFonts w:hint="eastAsia" w:ascii="仿宋" w:hAnsi="仿宋" w:eastAsia="仿宋"/>
          <w:b/>
          <w:sz w:val="32"/>
          <w:szCs w:val="32"/>
        </w:rPr>
        <w:t>评价分析：</w:t>
      </w:r>
      <w:r>
        <w:rPr>
          <w:rFonts w:hint="eastAsia" w:ascii="仿宋" w:hAnsi="仿宋" w:eastAsia="仿宋"/>
          <w:bCs/>
          <w:sz w:val="32"/>
          <w:szCs w:val="32"/>
        </w:rPr>
        <w:t>天城镇人民政府的资产保存完整、使用合规、配置合理、处置规范、收入及时足额上缴，资产运行安全。</w:t>
      </w:r>
    </w:p>
    <w:p w14:paraId="46D088EC">
      <w:pPr>
        <w:spacing w:line="560" w:lineRule="exact"/>
        <w:ind w:firstLine="643" w:firstLineChars="20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该项指标得满分3分。</w:t>
      </w:r>
    </w:p>
    <w:p w14:paraId="00C67508">
      <w:pPr>
        <w:spacing w:line="560" w:lineRule="exact"/>
        <w:ind w:firstLine="560"/>
        <w:rPr>
          <w:rFonts w:ascii="仿宋" w:hAnsi="仿宋" w:eastAsia="仿宋" w:cs="楷体"/>
          <w:b/>
          <w:sz w:val="32"/>
          <w:szCs w:val="32"/>
        </w:rPr>
      </w:pPr>
      <w:r>
        <w:rPr>
          <w:rFonts w:hint="eastAsia" w:ascii="仿宋" w:hAnsi="仿宋" w:eastAsia="仿宋" w:cs="楷体"/>
          <w:b/>
          <w:sz w:val="32"/>
          <w:szCs w:val="32"/>
        </w:rPr>
        <w:t>2.3.2.3  业务管理</w:t>
      </w:r>
    </w:p>
    <w:p w14:paraId="6FD4ED25">
      <w:pPr>
        <w:spacing w:line="560" w:lineRule="exact"/>
        <w:ind w:firstLine="560"/>
        <w:rPr>
          <w:rFonts w:ascii="仿宋" w:hAnsi="仿宋" w:eastAsia="仿宋"/>
          <w:b/>
          <w:sz w:val="32"/>
          <w:szCs w:val="32"/>
        </w:rPr>
      </w:pPr>
      <w:r>
        <w:rPr>
          <w:rFonts w:hint="eastAsia" w:ascii="仿宋" w:hAnsi="仿宋" w:eastAsia="仿宋"/>
          <w:b/>
          <w:sz w:val="32"/>
          <w:szCs w:val="32"/>
        </w:rPr>
        <w:t>a）内控制度有效性（标准分值5分）</w:t>
      </w:r>
    </w:p>
    <w:p w14:paraId="5945C6DD">
      <w:pPr>
        <w:spacing w:line="560" w:lineRule="exact"/>
        <w:ind w:firstLine="560"/>
        <w:rPr>
          <w:rFonts w:ascii="仿宋" w:hAnsi="仿宋" w:eastAsia="仿宋"/>
          <w:bCs/>
          <w:sz w:val="32"/>
          <w:szCs w:val="32"/>
        </w:rPr>
      </w:pPr>
      <w:r>
        <w:rPr>
          <w:rFonts w:hint="eastAsia" w:ascii="仿宋" w:hAnsi="仿宋" w:eastAsia="仿宋"/>
          <w:b/>
          <w:sz w:val="32"/>
          <w:szCs w:val="32"/>
        </w:rPr>
        <w:t>评价分析：</w:t>
      </w:r>
      <w:r>
        <w:rPr>
          <w:rFonts w:hint="eastAsia" w:ascii="仿宋" w:hAnsi="仿宋" w:eastAsia="仿宋" w:cs="仿宋"/>
          <w:sz w:val="32"/>
          <w:szCs w:val="32"/>
        </w:rPr>
        <w:t>根据《关于全面推进行政事业单位内部控制建设的指导意见》文件的指导精神，天城镇人民政府在单位主要负责人直接领导下，建立了适合本单位实际情况的内部控制体系，明确业务环节，制定风险应对策略；有效运用不相容岗位相互分离、内部授权审批控制、归口管理、预算控制、财产保护控制、会计控制、单据控制、信息内部公开等内部控制基本方法，加强对单位层面和业务层面的内部控制，实现内部控制体系全面、有效实施</w:t>
      </w:r>
      <w:r>
        <w:rPr>
          <w:rFonts w:hint="eastAsia" w:ascii="仿宋" w:hAnsi="仿宋" w:eastAsia="仿宋"/>
          <w:bCs/>
          <w:sz w:val="32"/>
          <w:szCs w:val="32"/>
        </w:rPr>
        <w:t>。</w:t>
      </w:r>
    </w:p>
    <w:p w14:paraId="5DCD5958">
      <w:pPr>
        <w:spacing w:line="560" w:lineRule="exact"/>
        <w:ind w:firstLine="643" w:firstLineChars="200"/>
        <w:rPr>
          <w:rFonts w:ascii="仿宋" w:hAnsi="仿宋" w:eastAsia="仿宋"/>
          <w:sz w:val="32"/>
          <w:szCs w:val="32"/>
        </w:rPr>
      </w:pPr>
      <w:r>
        <w:rPr>
          <w:rFonts w:hint="eastAsia" w:ascii="仿宋" w:hAnsi="仿宋" w:eastAsia="仿宋"/>
          <w:b/>
          <w:sz w:val="32"/>
          <w:szCs w:val="32"/>
        </w:rPr>
        <w:t>评价得分：</w:t>
      </w:r>
      <w:r>
        <w:rPr>
          <w:rFonts w:hint="eastAsia" w:ascii="仿宋" w:hAnsi="仿宋" w:eastAsia="仿宋"/>
          <w:sz w:val="32"/>
          <w:szCs w:val="32"/>
        </w:rPr>
        <w:t>该项指标得满分5分。</w:t>
      </w:r>
    </w:p>
    <w:p w14:paraId="5B489B92">
      <w:pPr>
        <w:spacing w:line="560" w:lineRule="exact"/>
        <w:ind w:firstLine="643" w:firstLineChars="200"/>
        <w:rPr>
          <w:rFonts w:ascii="仿宋" w:hAnsi="仿宋" w:eastAsia="仿宋"/>
          <w:b/>
          <w:sz w:val="32"/>
          <w:szCs w:val="32"/>
        </w:rPr>
      </w:pPr>
      <w:r>
        <w:rPr>
          <w:rFonts w:hint="eastAsia" w:ascii="仿宋" w:hAnsi="仿宋" w:eastAsia="仿宋"/>
          <w:b/>
          <w:sz w:val="32"/>
          <w:szCs w:val="32"/>
        </w:rPr>
        <w:t>b）其他业务管理有效性（标准分值5分）</w:t>
      </w:r>
    </w:p>
    <w:p w14:paraId="0F75A3B6">
      <w:pPr>
        <w:spacing w:line="560" w:lineRule="exact"/>
        <w:ind w:firstLine="600"/>
        <w:rPr>
          <w:rFonts w:ascii="仿宋" w:hAnsi="仿宋" w:eastAsia="仿宋"/>
          <w:bCs/>
          <w:sz w:val="32"/>
          <w:szCs w:val="32"/>
        </w:rPr>
      </w:pPr>
      <w:r>
        <w:rPr>
          <w:rFonts w:hint="eastAsia" w:ascii="仿宋" w:hAnsi="仿宋" w:eastAsia="仿宋"/>
          <w:b/>
          <w:sz w:val="32"/>
          <w:szCs w:val="32"/>
        </w:rPr>
        <w:t>评价分析：</w:t>
      </w:r>
      <w:r>
        <w:rPr>
          <w:rFonts w:hint="eastAsia" w:ascii="仿宋" w:hAnsi="仿宋" w:eastAsia="仿宋" w:cs="仿宋"/>
          <w:sz w:val="32"/>
          <w:szCs w:val="32"/>
        </w:rPr>
        <w:t>通过查阅相关项目文件资料，天城镇人民政府项目支出的申报、批复程序均符合相关管理办法，项目规范地履行了招投标、调整、完成验收等手续，并及时对实施的项目进行监督和管理</w:t>
      </w:r>
      <w:r>
        <w:rPr>
          <w:rFonts w:hint="eastAsia" w:ascii="仿宋" w:hAnsi="仿宋" w:eastAsia="仿宋"/>
          <w:bCs/>
          <w:sz w:val="32"/>
          <w:szCs w:val="32"/>
        </w:rPr>
        <w:t>。</w:t>
      </w:r>
    </w:p>
    <w:p w14:paraId="26EBC665">
      <w:pPr>
        <w:spacing w:line="560" w:lineRule="exact"/>
        <w:ind w:firstLine="643" w:firstLineChars="20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该项指标得满分5分。</w:t>
      </w:r>
    </w:p>
    <w:p w14:paraId="712D1B3E">
      <w:pPr>
        <w:spacing w:line="560" w:lineRule="exact"/>
        <w:ind w:firstLine="643" w:firstLineChars="200"/>
        <w:rPr>
          <w:rFonts w:ascii="仿宋" w:hAnsi="仿宋" w:eastAsia="仿宋"/>
          <w:sz w:val="32"/>
          <w:szCs w:val="32"/>
        </w:rPr>
      </w:pPr>
      <w:r>
        <w:rPr>
          <w:rFonts w:hint="eastAsia" w:ascii="楷体" w:hAnsi="楷体" w:eastAsia="楷体" w:cs="楷体"/>
          <w:b/>
          <w:bCs/>
          <w:sz w:val="32"/>
          <w:szCs w:val="32"/>
        </w:rPr>
        <w:t>2.3.3  履职效能分析</w:t>
      </w:r>
    </w:p>
    <w:p w14:paraId="061D30A1">
      <w:pPr>
        <w:spacing w:line="560" w:lineRule="exact"/>
        <w:ind w:firstLine="615"/>
        <w:outlineLvl w:val="2"/>
        <w:rPr>
          <w:rFonts w:ascii="仿宋" w:hAnsi="仿宋" w:eastAsia="仿宋" w:cs="楷体"/>
          <w:b/>
          <w:bCs/>
          <w:sz w:val="32"/>
          <w:szCs w:val="32"/>
        </w:rPr>
      </w:pPr>
      <w:bookmarkStart w:id="50" w:name="_Toc27076"/>
      <w:r>
        <w:rPr>
          <w:rFonts w:hint="eastAsia" w:ascii="仿宋" w:hAnsi="仿宋" w:eastAsia="仿宋"/>
          <w:b/>
          <w:bCs/>
          <w:sz w:val="32"/>
          <w:szCs w:val="32"/>
        </w:rPr>
        <w:t>2.3.3.</w:t>
      </w:r>
      <w:r>
        <w:rPr>
          <w:rFonts w:hint="eastAsia" w:ascii="仿宋" w:hAnsi="仿宋" w:eastAsia="仿宋" w:cs="楷体"/>
          <w:b/>
          <w:bCs/>
          <w:sz w:val="32"/>
          <w:szCs w:val="32"/>
        </w:rPr>
        <w:t>1  核心产出</w:t>
      </w:r>
      <w:bookmarkEnd w:id="50"/>
    </w:p>
    <w:p w14:paraId="4D3486DC">
      <w:pPr>
        <w:spacing w:line="560" w:lineRule="exact"/>
        <w:ind w:firstLine="560"/>
        <w:rPr>
          <w:rFonts w:ascii="仿宋" w:hAnsi="仿宋" w:eastAsia="仿宋"/>
          <w:b/>
          <w:sz w:val="32"/>
          <w:szCs w:val="32"/>
        </w:rPr>
      </w:pPr>
      <w:r>
        <w:rPr>
          <w:rFonts w:hint="eastAsia" w:ascii="仿宋" w:hAnsi="仿宋" w:eastAsia="仿宋"/>
          <w:b/>
          <w:sz w:val="32"/>
          <w:szCs w:val="32"/>
        </w:rPr>
        <w:t>a）改善人居环境（标准分值10分）</w:t>
      </w:r>
    </w:p>
    <w:p w14:paraId="3D94AD05">
      <w:pPr>
        <w:spacing w:line="560" w:lineRule="exact"/>
        <w:ind w:firstLine="643" w:firstLineChars="200"/>
        <w:outlineLvl w:val="2"/>
        <w:rPr>
          <w:rFonts w:ascii="仿宋" w:hAnsi="仿宋" w:eastAsia="仿宋" w:cs="楷体"/>
          <w:bCs/>
          <w:sz w:val="32"/>
          <w:szCs w:val="32"/>
          <w:lang w:val="en-AU"/>
        </w:rPr>
      </w:pPr>
      <w:bookmarkStart w:id="51" w:name="_Hlk64983898"/>
      <w:bookmarkStart w:id="52" w:name="_Toc10409"/>
      <w:r>
        <w:rPr>
          <w:rFonts w:hint="eastAsia" w:ascii="仿宋" w:hAnsi="仿宋" w:eastAsia="仿宋" w:cs="楷体"/>
          <w:b/>
          <w:bCs/>
          <w:sz w:val="32"/>
          <w:szCs w:val="32"/>
        </w:rPr>
        <w:t>指标分析：</w:t>
      </w:r>
      <w:bookmarkEnd w:id="51"/>
      <w:bookmarkEnd w:id="52"/>
      <w:r>
        <w:rPr>
          <w:rFonts w:hint="eastAsia" w:ascii="仿宋" w:hAnsi="仿宋" w:eastAsia="仿宋" w:cs="楷体"/>
          <w:sz w:val="32"/>
          <w:szCs w:val="32"/>
        </w:rPr>
        <w:t>截止2020年10月31日，天城镇共清理垃圾465处，1000余吨，配置垃圾桶5198个，清理87处国道、省道、村级道路垃圾堆放点和60处堆放杂物。清理道路70公里，清理河道128处43公里，清理水库11处6万平方米。拆除违章建筑12处，拆除农村道路附近老旧闲置房屋17间，拆除影响市容老旧广告牌20处。疏通排水沟、水渠20处870米。立面改造15000平方米以上。清除11个社区牛皮廯300多处。绿化20个村道路，长度10公里，植树40000多棵</w:t>
      </w:r>
      <w:r>
        <w:rPr>
          <w:rFonts w:hint="eastAsia" w:ascii="仿宋" w:hAnsi="仿宋" w:eastAsia="仿宋" w:cs="楷体"/>
          <w:bCs/>
          <w:sz w:val="32"/>
          <w:szCs w:val="32"/>
          <w:lang w:val="en-AU"/>
        </w:rPr>
        <w:t>。在9月份全市城市管理工作综合考评中排名靠前。</w:t>
      </w:r>
    </w:p>
    <w:p w14:paraId="0D08CDE2">
      <w:pPr>
        <w:spacing w:line="560" w:lineRule="exact"/>
        <w:ind w:firstLine="643" w:firstLineChars="200"/>
        <w:rPr>
          <w:rFonts w:ascii="仿宋" w:hAnsi="仿宋" w:eastAsia="仿宋"/>
          <w:sz w:val="32"/>
          <w:szCs w:val="32"/>
        </w:rPr>
      </w:pPr>
      <w:r>
        <w:rPr>
          <w:rFonts w:hint="eastAsia" w:ascii="仿宋" w:hAnsi="仿宋" w:eastAsia="仿宋" w:cs="楷体"/>
          <w:b/>
          <w:bCs/>
          <w:sz w:val="32"/>
          <w:szCs w:val="32"/>
        </w:rPr>
        <w:t>评价得分：</w:t>
      </w:r>
      <w:r>
        <w:rPr>
          <w:rFonts w:hint="eastAsia" w:ascii="仿宋" w:hAnsi="仿宋" w:eastAsia="仿宋" w:cs="楷体"/>
          <w:sz w:val="32"/>
          <w:szCs w:val="32"/>
        </w:rPr>
        <w:t>该项指标得分为满分10分</w:t>
      </w:r>
      <w:r>
        <w:rPr>
          <w:rFonts w:hint="eastAsia" w:ascii="仿宋" w:hAnsi="仿宋" w:eastAsia="仿宋"/>
          <w:sz w:val="32"/>
          <w:szCs w:val="32"/>
        </w:rPr>
        <w:t>。</w:t>
      </w:r>
    </w:p>
    <w:p w14:paraId="202FD9BA">
      <w:pPr>
        <w:spacing w:line="560" w:lineRule="exact"/>
        <w:ind w:firstLine="643" w:firstLineChars="200"/>
        <w:rPr>
          <w:rFonts w:ascii="仿宋" w:hAnsi="仿宋" w:eastAsia="仿宋"/>
          <w:b/>
          <w:sz w:val="32"/>
          <w:szCs w:val="32"/>
        </w:rPr>
      </w:pPr>
      <w:r>
        <w:rPr>
          <w:rFonts w:hint="eastAsia" w:ascii="仿宋" w:hAnsi="仿宋" w:eastAsia="仿宋"/>
          <w:b/>
          <w:sz w:val="32"/>
          <w:szCs w:val="32"/>
        </w:rPr>
        <w:t>b）疫情防控排查率（标准分值10分）</w:t>
      </w:r>
    </w:p>
    <w:p w14:paraId="7A194139">
      <w:pPr>
        <w:spacing w:line="560" w:lineRule="exact"/>
        <w:ind w:firstLine="643" w:firstLineChars="200"/>
        <w:rPr>
          <w:rFonts w:ascii="仿宋" w:hAnsi="仿宋" w:eastAsia="仿宋" w:cs="楷体"/>
          <w:bCs/>
          <w:sz w:val="32"/>
          <w:szCs w:val="32"/>
          <w:lang w:val="en-AU"/>
        </w:rPr>
      </w:pPr>
      <w:r>
        <w:rPr>
          <w:rFonts w:hint="eastAsia" w:ascii="仿宋" w:hAnsi="仿宋" w:eastAsia="仿宋" w:cs="楷体"/>
          <w:b/>
          <w:bCs/>
          <w:sz w:val="32"/>
          <w:szCs w:val="32"/>
        </w:rPr>
        <w:t>指标分析：</w:t>
      </w:r>
      <w:bookmarkStart w:id="53" w:name="_Toc23818"/>
      <w:bookmarkStart w:id="54" w:name="_Hlk65003343"/>
      <w:r>
        <w:rPr>
          <w:rFonts w:hint="eastAsia" w:ascii="仿宋" w:hAnsi="仿宋" w:eastAsia="仿宋" w:cs="仿宋"/>
          <w:sz w:val="32"/>
          <w:szCs w:val="32"/>
        </w:rPr>
        <w:t>天城镇人民政府在新冠肺炎疫情防控初期，果断采取一系列联防联控、群防群控措施，重点围绕“防”、“控”两个环节，以常住人口底数清、流入人口底数清、重点疫区流入人口底数清、发热人员底数清、留观疑似确诊人员及密切接触人员底数清的“五清”为目标，充分利用社区干部、网格员</w:t>
      </w:r>
      <w:r>
        <w:rPr>
          <w:rFonts w:hint="eastAsia" w:ascii="仿宋" w:hAnsi="仿宋" w:eastAsia="仿宋" w:cs="楷体"/>
          <w:bCs/>
          <w:sz w:val="32"/>
          <w:szCs w:val="32"/>
          <w:lang w:val="en-AU"/>
        </w:rPr>
        <w:t>，完成对全镇11个社区57326户200239人的摸排登记，对摸排到的重点对象全部落实“九个一”和“三包一”的管理措施，同时将社区网格化管理落到实处，对城区11个社区共计116个小区、996个楼栋进行网格化管理，严守小区重要防线，扎实织密疫情防控网。疫情防控排查率达到100%。</w:t>
      </w:r>
    </w:p>
    <w:p w14:paraId="1C2F4583">
      <w:pPr>
        <w:spacing w:line="560" w:lineRule="exact"/>
        <w:ind w:firstLine="643" w:firstLineChars="200"/>
        <w:rPr>
          <w:rFonts w:ascii="仿宋" w:hAnsi="仿宋" w:eastAsia="仿宋" w:cs="楷体"/>
          <w:sz w:val="32"/>
          <w:szCs w:val="32"/>
        </w:rPr>
      </w:pPr>
      <w:r>
        <w:rPr>
          <w:rFonts w:hint="eastAsia" w:ascii="仿宋" w:hAnsi="仿宋" w:eastAsia="仿宋" w:cs="楷体"/>
          <w:b/>
          <w:bCs/>
          <w:sz w:val="32"/>
          <w:szCs w:val="32"/>
        </w:rPr>
        <w:t>评价得分：</w:t>
      </w:r>
      <w:r>
        <w:rPr>
          <w:rFonts w:hint="eastAsia" w:ascii="仿宋" w:hAnsi="仿宋" w:eastAsia="仿宋" w:cs="楷体"/>
          <w:sz w:val="32"/>
          <w:szCs w:val="32"/>
        </w:rPr>
        <w:t>该项指标得分为满分10分。</w:t>
      </w:r>
    </w:p>
    <w:bookmarkEnd w:id="53"/>
    <w:bookmarkEnd w:id="54"/>
    <w:p w14:paraId="2F24B79F">
      <w:pPr>
        <w:spacing w:line="560" w:lineRule="exact"/>
        <w:ind w:firstLine="615"/>
        <w:outlineLvl w:val="2"/>
        <w:rPr>
          <w:rFonts w:ascii="仿宋" w:hAnsi="仿宋" w:eastAsia="仿宋"/>
          <w:sz w:val="32"/>
          <w:szCs w:val="32"/>
        </w:rPr>
      </w:pPr>
      <w:bookmarkStart w:id="55" w:name="_Toc29716"/>
      <w:r>
        <w:rPr>
          <w:rFonts w:hint="eastAsia" w:ascii="楷体" w:hAnsi="楷体" w:eastAsia="楷体" w:cs="楷体"/>
          <w:b/>
          <w:bCs/>
          <w:sz w:val="32"/>
          <w:szCs w:val="32"/>
        </w:rPr>
        <w:t>2.3.4  社会效益分析</w:t>
      </w:r>
      <w:bookmarkEnd w:id="55"/>
    </w:p>
    <w:p w14:paraId="1E59682C">
      <w:pPr>
        <w:spacing w:line="560" w:lineRule="exact"/>
        <w:rPr>
          <w:rFonts w:ascii="仿宋" w:hAnsi="仿宋" w:eastAsia="仿宋" w:cs="楷体"/>
          <w:b/>
          <w:bCs/>
          <w:sz w:val="32"/>
          <w:szCs w:val="32"/>
        </w:rPr>
      </w:pPr>
      <w:r>
        <w:rPr>
          <w:rFonts w:hint="eastAsia" w:ascii="楷体" w:hAnsi="楷体" w:eastAsia="楷体" w:cs="楷体"/>
          <w:b/>
          <w:bCs/>
          <w:sz w:val="32"/>
          <w:szCs w:val="32"/>
        </w:rPr>
        <w:t xml:space="preserve">   </w:t>
      </w:r>
      <w:r>
        <w:rPr>
          <w:rFonts w:hint="eastAsia" w:ascii="仿宋" w:hAnsi="仿宋" w:eastAsia="仿宋" w:cs="楷体"/>
          <w:b/>
          <w:bCs/>
          <w:sz w:val="32"/>
          <w:szCs w:val="32"/>
        </w:rPr>
        <w:t xml:space="preserve"> 2.3.4.1  预算效果（标准分值20分）</w:t>
      </w:r>
    </w:p>
    <w:p w14:paraId="17B830EF">
      <w:pPr>
        <w:spacing w:line="560" w:lineRule="exact"/>
        <w:ind w:firstLine="560"/>
        <w:rPr>
          <w:rFonts w:ascii="仿宋" w:hAnsi="仿宋" w:eastAsia="仿宋"/>
          <w:b/>
          <w:sz w:val="32"/>
          <w:szCs w:val="32"/>
        </w:rPr>
      </w:pPr>
      <w:r>
        <w:rPr>
          <w:rFonts w:hint="eastAsia" w:ascii="仿宋" w:hAnsi="仿宋" w:eastAsia="仿宋"/>
          <w:b/>
          <w:sz w:val="32"/>
          <w:szCs w:val="32"/>
        </w:rPr>
        <w:t>a）提高居民生活环境（标准分值10分）</w:t>
      </w:r>
    </w:p>
    <w:p w14:paraId="3558DB8B">
      <w:pPr>
        <w:spacing w:line="560" w:lineRule="exact"/>
        <w:ind w:firstLine="600"/>
        <w:rPr>
          <w:rFonts w:ascii="仿宋" w:hAnsi="仿宋" w:eastAsia="仿宋"/>
          <w:b/>
          <w:bCs/>
          <w:sz w:val="32"/>
          <w:szCs w:val="32"/>
        </w:rPr>
      </w:pPr>
      <w:r>
        <w:rPr>
          <w:rFonts w:hint="eastAsia" w:ascii="仿宋" w:hAnsi="仿宋" w:eastAsia="仿宋"/>
          <w:b/>
          <w:sz w:val="32"/>
          <w:szCs w:val="32"/>
        </w:rPr>
        <w:t>评价分析：</w:t>
      </w:r>
      <w:r>
        <w:rPr>
          <w:rFonts w:hint="eastAsia" w:ascii="仿宋" w:hAnsi="仿宋" w:eastAsia="仿宋" w:cs="仿宋"/>
          <w:sz w:val="32"/>
          <w:szCs w:val="32"/>
        </w:rPr>
        <w:t>通过垃圾清理、老旧建筑拆除、里面改造等措施，使得人居环境得到较大改善，环境质量显著提升,群众精神面貌更加振奋,投资创业环境更加优良,吸引成功人士投资兴业,发展乡村产业和乡村旅游,带动村民致富就业</w:t>
      </w:r>
      <w:r>
        <w:rPr>
          <w:rFonts w:hint="eastAsia" w:ascii="仿宋" w:hAnsi="仿宋" w:eastAsia="仿宋"/>
          <w:sz w:val="32"/>
          <w:szCs w:val="32"/>
        </w:rPr>
        <w:t>。</w:t>
      </w:r>
    </w:p>
    <w:p w14:paraId="7169989A">
      <w:pPr>
        <w:spacing w:line="560" w:lineRule="exact"/>
        <w:ind w:firstLine="600"/>
        <w:rPr>
          <w:rFonts w:ascii="仿宋" w:hAnsi="仿宋" w:eastAsia="仿宋"/>
          <w:bCs/>
          <w:sz w:val="32"/>
          <w:szCs w:val="32"/>
        </w:rPr>
      </w:pPr>
      <w:r>
        <w:rPr>
          <w:rFonts w:hint="eastAsia" w:ascii="仿宋" w:hAnsi="仿宋" w:eastAsia="仿宋" w:cs="楷体"/>
          <w:b/>
          <w:sz w:val="32"/>
          <w:szCs w:val="32"/>
        </w:rPr>
        <w:t>评价得分：</w:t>
      </w:r>
      <w:r>
        <w:rPr>
          <w:rFonts w:hint="eastAsia" w:ascii="仿宋" w:hAnsi="仿宋" w:eastAsia="仿宋"/>
          <w:bCs/>
          <w:sz w:val="32"/>
          <w:szCs w:val="32"/>
        </w:rPr>
        <w:t>该项指标得满分10分。</w:t>
      </w:r>
    </w:p>
    <w:p w14:paraId="4B7F6931">
      <w:pPr>
        <w:spacing w:line="560" w:lineRule="exact"/>
        <w:ind w:firstLine="600"/>
        <w:rPr>
          <w:rFonts w:ascii="仿宋" w:hAnsi="仿宋" w:eastAsia="仿宋"/>
          <w:b/>
          <w:sz w:val="32"/>
          <w:szCs w:val="32"/>
        </w:rPr>
      </w:pPr>
      <w:r>
        <w:rPr>
          <w:rFonts w:hint="eastAsia" w:ascii="仿宋" w:hAnsi="仿宋" w:eastAsia="仿宋"/>
          <w:b/>
          <w:sz w:val="32"/>
          <w:szCs w:val="32"/>
        </w:rPr>
        <w:t>b）疫情防控保障群众安全（标准分值10分）</w:t>
      </w:r>
    </w:p>
    <w:p w14:paraId="218676D4">
      <w:pPr>
        <w:spacing w:line="560" w:lineRule="exact"/>
        <w:ind w:firstLine="600"/>
        <w:rPr>
          <w:rFonts w:ascii="仿宋" w:hAnsi="仿宋" w:eastAsia="仿宋"/>
          <w:b/>
          <w:bCs/>
          <w:sz w:val="32"/>
          <w:szCs w:val="32"/>
        </w:rPr>
      </w:pPr>
      <w:r>
        <w:rPr>
          <w:rFonts w:hint="eastAsia" w:ascii="仿宋" w:hAnsi="仿宋" w:eastAsia="仿宋"/>
          <w:b/>
          <w:sz w:val="32"/>
          <w:szCs w:val="32"/>
        </w:rPr>
        <w:t>评价分析：</w:t>
      </w:r>
      <w:r>
        <w:rPr>
          <w:rFonts w:hint="eastAsia" w:ascii="仿宋" w:hAnsi="仿宋" w:eastAsia="仿宋"/>
          <w:bCs/>
          <w:sz w:val="32"/>
          <w:szCs w:val="32"/>
        </w:rPr>
        <w:t>新冠肺炎疫情</w:t>
      </w:r>
      <w:r>
        <w:rPr>
          <w:rFonts w:hint="eastAsia" w:ascii="仿宋" w:hAnsi="仿宋" w:eastAsia="仿宋"/>
          <w:bCs/>
          <w:sz w:val="32"/>
          <w:szCs w:val="32"/>
          <w:lang w:eastAsia="zh-CN"/>
        </w:rPr>
        <w:t>暴</w:t>
      </w:r>
      <w:r>
        <w:rPr>
          <w:rFonts w:hint="eastAsia" w:ascii="仿宋" w:hAnsi="仿宋" w:eastAsia="仿宋"/>
          <w:bCs/>
          <w:sz w:val="32"/>
          <w:szCs w:val="32"/>
        </w:rPr>
        <w:t>发以来，天城镇人民政府把疫情防控作为最重要的工作，果断采取一系列联防联控、群防群控措施，坚持“六抓六到位”工作方法，全体干部严</w:t>
      </w:r>
      <w:bookmarkStart w:id="58" w:name="_GoBack"/>
      <w:bookmarkEnd w:id="58"/>
      <w:r>
        <w:rPr>
          <w:rFonts w:hint="eastAsia" w:ascii="仿宋" w:hAnsi="仿宋" w:eastAsia="仿宋"/>
          <w:bCs/>
          <w:sz w:val="32"/>
          <w:szCs w:val="32"/>
        </w:rPr>
        <w:t>阵以待、严防死守、严格筛查、严密管控，共建立封闭值守卡点334个，治愈确诊病例36人，确保了人民群众生命安全和身体健康。</w:t>
      </w:r>
    </w:p>
    <w:p w14:paraId="4F02A9B9">
      <w:pPr>
        <w:spacing w:line="560" w:lineRule="exact"/>
        <w:ind w:firstLine="600"/>
        <w:rPr>
          <w:rFonts w:ascii="仿宋" w:hAnsi="仿宋" w:eastAsia="仿宋"/>
          <w:b/>
          <w:sz w:val="32"/>
          <w:szCs w:val="32"/>
        </w:rPr>
      </w:pPr>
      <w:r>
        <w:rPr>
          <w:rFonts w:hint="eastAsia" w:ascii="仿宋" w:hAnsi="仿宋" w:eastAsia="仿宋" w:cs="楷体"/>
          <w:b/>
          <w:sz w:val="32"/>
          <w:szCs w:val="32"/>
        </w:rPr>
        <w:t>评价得分：</w:t>
      </w:r>
      <w:r>
        <w:rPr>
          <w:rFonts w:hint="eastAsia" w:ascii="仿宋" w:hAnsi="仿宋" w:eastAsia="仿宋"/>
          <w:bCs/>
          <w:sz w:val="32"/>
          <w:szCs w:val="32"/>
        </w:rPr>
        <w:t>该项指标得满分10分。</w:t>
      </w:r>
    </w:p>
    <w:p w14:paraId="221849AA">
      <w:pPr>
        <w:spacing w:line="560" w:lineRule="exact"/>
        <w:ind w:firstLine="615"/>
        <w:outlineLvl w:val="2"/>
        <w:rPr>
          <w:rFonts w:ascii="仿宋" w:hAnsi="仿宋" w:eastAsia="仿宋"/>
          <w:sz w:val="32"/>
          <w:szCs w:val="32"/>
        </w:rPr>
      </w:pPr>
      <w:r>
        <w:rPr>
          <w:rFonts w:hint="eastAsia" w:ascii="楷体" w:hAnsi="楷体" w:eastAsia="楷体" w:cs="楷体"/>
          <w:b/>
          <w:bCs/>
          <w:sz w:val="32"/>
          <w:szCs w:val="32"/>
        </w:rPr>
        <w:t>2.3.5  服务对象满意度分析</w:t>
      </w:r>
    </w:p>
    <w:p w14:paraId="10CDFC39">
      <w:pPr>
        <w:spacing w:line="560" w:lineRule="exact"/>
        <w:rPr>
          <w:rFonts w:ascii="仿宋" w:hAnsi="仿宋" w:eastAsia="仿宋" w:cs="楷体"/>
          <w:b/>
          <w:bCs/>
          <w:sz w:val="32"/>
          <w:szCs w:val="32"/>
        </w:rPr>
      </w:pPr>
      <w:r>
        <w:rPr>
          <w:rFonts w:hint="eastAsia" w:ascii="楷体" w:hAnsi="楷体" w:eastAsia="楷体" w:cs="楷体"/>
          <w:b/>
          <w:bCs/>
          <w:sz w:val="32"/>
          <w:szCs w:val="32"/>
        </w:rPr>
        <w:t xml:space="preserve">   </w:t>
      </w:r>
      <w:r>
        <w:rPr>
          <w:rFonts w:hint="eastAsia" w:ascii="仿宋" w:hAnsi="仿宋" w:eastAsia="仿宋" w:cs="楷体"/>
          <w:b/>
          <w:bCs/>
          <w:sz w:val="32"/>
          <w:szCs w:val="32"/>
        </w:rPr>
        <w:t xml:space="preserve"> 2.3.4.1  服务对象满意度</w:t>
      </w:r>
    </w:p>
    <w:p w14:paraId="08D57DFE">
      <w:pPr>
        <w:spacing w:line="560" w:lineRule="exact"/>
        <w:ind w:firstLine="560"/>
        <w:rPr>
          <w:rFonts w:ascii="仿宋" w:hAnsi="仿宋" w:eastAsia="仿宋"/>
          <w:b/>
          <w:sz w:val="32"/>
          <w:szCs w:val="32"/>
        </w:rPr>
      </w:pPr>
      <w:r>
        <w:rPr>
          <w:rFonts w:hint="eastAsia" w:ascii="仿宋" w:hAnsi="仿宋" w:eastAsia="仿宋"/>
          <w:b/>
          <w:sz w:val="32"/>
          <w:szCs w:val="32"/>
        </w:rPr>
        <w:t>a）居民满意度（标准分值5分）</w:t>
      </w:r>
    </w:p>
    <w:p w14:paraId="55D0067F">
      <w:pPr>
        <w:spacing w:line="560" w:lineRule="exact"/>
        <w:ind w:firstLine="600"/>
        <w:rPr>
          <w:rFonts w:ascii="仿宋" w:hAnsi="仿宋" w:eastAsia="仿宋"/>
          <w:b/>
          <w:bCs/>
          <w:sz w:val="32"/>
          <w:szCs w:val="32"/>
        </w:rPr>
      </w:pPr>
      <w:r>
        <w:rPr>
          <w:rFonts w:hint="eastAsia" w:ascii="仿宋" w:hAnsi="仿宋" w:eastAsia="仿宋"/>
          <w:b/>
          <w:sz w:val="32"/>
          <w:szCs w:val="32"/>
        </w:rPr>
        <w:t>评价分析：</w:t>
      </w:r>
      <w:r>
        <w:rPr>
          <w:rFonts w:hint="eastAsia" w:ascii="仿宋" w:hAnsi="仿宋" w:eastAsia="仿宋"/>
          <w:bCs/>
          <w:sz w:val="32"/>
          <w:szCs w:val="32"/>
        </w:rPr>
        <w:t>根据调查问卷题7“您对天城镇人民政府部门整体工作满意度”的结果进行统计，群众对镇人民政府部门整体工作满意度达到100%</w:t>
      </w:r>
      <w:r>
        <w:rPr>
          <w:rFonts w:hint="eastAsia" w:ascii="仿宋" w:hAnsi="仿宋" w:eastAsia="仿宋"/>
          <w:sz w:val="32"/>
          <w:szCs w:val="32"/>
        </w:rPr>
        <w:t>。</w:t>
      </w:r>
    </w:p>
    <w:p w14:paraId="4FA6CF52">
      <w:pPr>
        <w:spacing w:line="560" w:lineRule="exact"/>
        <w:ind w:firstLine="600"/>
        <w:rPr>
          <w:rFonts w:ascii="仿宋" w:hAnsi="仿宋" w:eastAsia="仿宋"/>
          <w:bCs/>
          <w:sz w:val="32"/>
          <w:szCs w:val="32"/>
        </w:rPr>
      </w:pPr>
      <w:r>
        <w:rPr>
          <w:rFonts w:hint="eastAsia" w:ascii="仿宋" w:hAnsi="仿宋" w:eastAsia="仿宋" w:cs="楷体"/>
          <w:b/>
          <w:sz w:val="32"/>
          <w:szCs w:val="32"/>
        </w:rPr>
        <w:t>评价得分：</w:t>
      </w:r>
      <w:r>
        <w:rPr>
          <w:rFonts w:hint="eastAsia" w:ascii="仿宋" w:hAnsi="仿宋" w:eastAsia="仿宋"/>
          <w:bCs/>
          <w:sz w:val="32"/>
          <w:szCs w:val="32"/>
        </w:rPr>
        <w:t>该项指标得满分5分。</w:t>
      </w:r>
    </w:p>
    <w:p w14:paraId="3E61064B">
      <w:pPr>
        <w:spacing w:line="560" w:lineRule="exact"/>
        <w:ind w:firstLine="600"/>
        <w:rPr>
          <w:rFonts w:ascii="仿宋" w:hAnsi="仿宋" w:eastAsia="仿宋"/>
          <w:b/>
          <w:sz w:val="32"/>
          <w:szCs w:val="32"/>
        </w:rPr>
      </w:pPr>
      <w:r>
        <w:rPr>
          <w:rFonts w:hint="eastAsia" w:ascii="仿宋" w:hAnsi="仿宋" w:eastAsia="仿宋"/>
          <w:b/>
          <w:sz w:val="32"/>
          <w:szCs w:val="32"/>
        </w:rPr>
        <w:t>b）内部干部满意度（标准分值5分）</w:t>
      </w:r>
    </w:p>
    <w:p w14:paraId="5D3BA5B5">
      <w:pPr>
        <w:spacing w:line="560" w:lineRule="exact"/>
        <w:ind w:firstLine="600"/>
        <w:rPr>
          <w:rFonts w:ascii="仿宋" w:hAnsi="仿宋" w:eastAsia="仿宋"/>
          <w:b/>
          <w:bCs/>
          <w:sz w:val="32"/>
          <w:szCs w:val="32"/>
        </w:rPr>
      </w:pPr>
      <w:r>
        <w:rPr>
          <w:rFonts w:hint="eastAsia" w:ascii="仿宋" w:hAnsi="仿宋" w:eastAsia="仿宋"/>
          <w:b/>
          <w:sz w:val="32"/>
          <w:szCs w:val="32"/>
        </w:rPr>
        <w:t>评价分析：</w:t>
      </w:r>
      <w:r>
        <w:rPr>
          <w:rFonts w:hint="eastAsia" w:ascii="仿宋" w:hAnsi="仿宋" w:eastAsia="仿宋"/>
          <w:bCs/>
          <w:sz w:val="32"/>
          <w:szCs w:val="32"/>
        </w:rPr>
        <w:t>根据调查问卷题7“您对天城镇人民政府部门整体工作满意度”的结果进行统计，内部干部对镇人民政府部门整体工作满意度达到100%。</w:t>
      </w:r>
    </w:p>
    <w:p w14:paraId="4101D759">
      <w:pPr>
        <w:spacing w:line="560" w:lineRule="exact"/>
        <w:ind w:firstLine="600"/>
        <w:rPr>
          <w:rFonts w:ascii="仿宋" w:hAnsi="仿宋" w:eastAsia="仿宋"/>
          <w:bCs/>
          <w:sz w:val="32"/>
          <w:szCs w:val="32"/>
        </w:rPr>
      </w:pPr>
      <w:r>
        <w:rPr>
          <w:rFonts w:hint="eastAsia" w:ascii="仿宋" w:hAnsi="仿宋" w:eastAsia="仿宋" w:cs="楷体"/>
          <w:b/>
          <w:sz w:val="32"/>
          <w:szCs w:val="32"/>
        </w:rPr>
        <w:t>评价得分：</w:t>
      </w:r>
      <w:r>
        <w:rPr>
          <w:rFonts w:hint="eastAsia" w:ascii="仿宋" w:hAnsi="仿宋" w:eastAsia="仿宋"/>
          <w:bCs/>
          <w:sz w:val="32"/>
          <w:szCs w:val="32"/>
        </w:rPr>
        <w:t>该项指标得满分5分。</w:t>
      </w:r>
    </w:p>
    <w:p w14:paraId="660A8E08">
      <w:pPr>
        <w:spacing w:line="560" w:lineRule="exact"/>
        <w:ind w:firstLine="643" w:firstLineChars="200"/>
        <w:rPr>
          <w:rFonts w:ascii="楷体" w:hAnsi="楷体" w:eastAsia="楷体" w:cs="楷体"/>
          <w:b/>
          <w:bCs/>
          <w:sz w:val="32"/>
          <w:szCs w:val="32"/>
        </w:rPr>
      </w:pPr>
      <w:bookmarkStart w:id="56" w:name="_Toc1792"/>
      <w:r>
        <w:rPr>
          <w:rFonts w:hint="eastAsia" w:ascii="楷体" w:hAnsi="楷体" w:eastAsia="楷体" w:cs="楷体"/>
          <w:b/>
          <w:bCs/>
          <w:sz w:val="32"/>
          <w:szCs w:val="32"/>
        </w:rPr>
        <w:t>2.3.6  评价得分</w:t>
      </w:r>
      <w:bookmarkEnd w:id="56"/>
      <w:r>
        <w:rPr>
          <w:rFonts w:hint="eastAsia" w:ascii="楷体" w:hAnsi="楷体" w:eastAsia="楷体" w:cs="楷体"/>
          <w:b/>
          <w:bCs/>
          <w:sz w:val="32"/>
          <w:szCs w:val="32"/>
        </w:rPr>
        <w:t>与等级</w:t>
      </w:r>
    </w:p>
    <w:p w14:paraId="144ADAD1">
      <w:pPr>
        <w:spacing w:line="560" w:lineRule="exact"/>
        <w:ind w:firstLine="600"/>
        <w:rPr>
          <w:rFonts w:ascii="仿宋" w:hAnsi="仿宋" w:eastAsia="仿宋" w:cs="宋体"/>
          <w:sz w:val="32"/>
          <w:szCs w:val="32"/>
        </w:rPr>
      </w:pPr>
      <w:r>
        <w:rPr>
          <w:rFonts w:hint="eastAsia" w:ascii="仿宋" w:hAnsi="仿宋" w:eastAsia="仿宋" w:cs="宋体"/>
          <w:sz w:val="32"/>
          <w:szCs w:val="32"/>
        </w:rPr>
        <w:t>根据部门整体支出绩效指标评价分析与打分结果，以总分100分计，该镇2</w:t>
      </w:r>
      <w:r>
        <w:rPr>
          <w:rFonts w:ascii="仿宋" w:hAnsi="仿宋" w:eastAsia="仿宋" w:cs="宋体"/>
          <w:sz w:val="32"/>
          <w:szCs w:val="32"/>
        </w:rPr>
        <w:t>020</w:t>
      </w:r>
      <w:r>
        <w:rPr>
          <w:rFonts w:hint="eastAsia" w:ascii="仿宋" w:hAnsi="仿宋" w:eastAsia="仿宋" w:cs="宋体"/>
          <w:sz w:val="32"/>
          <w:szCs w:val="32"/>
        </w:rPr>
        <w:t>年部门整体支出实施绩效综合得分为84分，评价等级为“良”。基本指标综合得分及等级如下表：</w:t>
      </w:r>
    </w:p>
    <w:p w14:paraId="2B3D9550">
      <w:pPr>
        <w:spacing w:line="560" w:lineRule="exact"/>
        <w:ind w:firstLine="600"/>
        <w:rPr>
          <w:rFonts w:ascii="仿宋" w:hAnsi="仿宋" w:eastAsia="仿宋" w:cs="宋体"/>
          <w:b/>
          <w:bCs/>
          <w:sz w:val="32"/>
          <w:szCs w:val="32"/>
        </w:rPr>
      </w:pPr>
    </w:p>
    <w:p w14:paraId="4C23F51F">
      <w:pPr>
        <w:spacing w:line="560" w:lineRule="exact"/>
        <w:ind w:firstLine="2108" w:firstLineChars="700"/>
        <w:rPr>
          <w:rFonts w:ascii="宋体" w:hAnsi="宋体" w:cs="宋体"/>
          <w:b/>
          <w:sz w:val="30"/>
          <w:szCs w:val="30"/>
        </w:rPr>
      </w:pPr>
      <w:r>
        <w:rPr>
          <w:rFonts w:hint="eastAsia" w:ascii="宋体" w:hAnsi="宋体" w:cs="宋体"/>
          <w:b/>
          <w:sz w:val="30"/>
          <w:szCs w:val="30"/>
        </w:rPr>
        <w:t>项目绩效指标评价得分及等级表</w:t>
      </w:r>
    </w:p>
    <w:tbl>
      <w:tblPr>
        <w:tblStyle w:val="10"/>
        <w:tblW w:w="8364" w:type="dxa"/>
        <w:tblInd w:w="15" w:type="dxa"/>
        <w:tblLayout w:type="fixed"/>
        <w:tblCellMar>
          <w:top w:w="15" w:type="dxa"/>
          <w:left w:w="15" w:type="dxa"/>
          <w:bottom w:w="15" w:type="dxa"/>
          <w:right w:w="15" w:type="dxa"/>
        </w:tblCellMar>
      </w:tblPr>
      <w:tblGrid>
        <w:gridCol w:w="2410"/>
        <w:gridCol w:w="1985"/>
        <w:gridCol w:w="1984"/>
        <w:gridCol w:w="1985"/>
      </w:tblGrid>
      <w:tr w14:paraId="429617EF">
        <w:tblPrEx>
          <w:tblCellMar>
            <w:top w:w="15" w:type="dxa"/>
            <w:left w:w="15" w:type="dxa"/>
            <w:bottom w:w="15" w:type="dxa"/>
            <w:right w:w="15" w:type="dxa"/>
          </w:tblCellMar>
        </w:tblPrEx>
        <w:trPr>
          <w:trHeight w:val="598" w:hRule="atLeast"/>
        </w:trPr>
        <w:tc>
          <w:tcPr>
            <w:tcW w:w="2410" w:type="dxa"/>
            <w:tcBorders>
              <w:top w:val="single" w:color="000000" w:sz="4" w:space="0"/>
              <w:left w:val="single" w:color="000000" w:sz="4" w:space="0"/>
              <w:bottom w:val="single" w:color="000000" w:sz="4" w:space="0"/>
              <w:right w:val="single" w:color="000000" w:sz="4" w:space="0"/>
            </w:tcBorders>
            <w:vAlign w:val="center"/>
          </w:tcPr>
          <w:p w14:paraId="5F913E7C">
            <w:pPr>
              <w:widowControl/>
              <w:jc w:val="center"/>
              <w:textAlignment w:val="center"/>
              <w:rPr>
                <w:rFonts w:ascii="宋体" w:hAnsi="宋体" w:cs="仿宋"/>
                <w:b/>
                <w:color w:val="000000"/>
                <w:sz w:val="24"/>
              </w:rPr>
            </w:pPr>
            <w:r>
              <w:rPr>
                <w:rFonts w:hint="eastAsia" w:ascii="宋体" w:hAnsi="宋体" w:cs="仿宋"/>
                <w:b/>
                <w:color w:val="000000"/>
                <w:kern w:val="0"/>
                <w:sz w:val="24"/>
              </w:rPr>
              <w:t>一级指标</w:t>
            </w:r>
          </w:p>
        </w:tc>
        <w:tc>
          <w:tcPr>
            <w:tcW w:w="1985" w:type="dxa"/>
            <w:tcBorders>
              <w:top w:val="single" w:color="000000" w:sz="4" w:space="0"/>
              <w:left w:val="single" w:color="000000" w:sz="4" w:space="0"/>
              <w:bottom w:val="single" w:color="000000" w:sz="4" w:space="0"/>
              <w:right w:val="single" w:color="000000" w:sz="4" w:space="0"/>
            </w:tcBorders>
            <w:vAlign w:val="center"/>
          </w:tcPr>
          <w:p w14:paraId="6DF48270">
            <w:pPr>
              <w:widowControl/>
              <w:jc w:val="center"/>
              <w:textAlignment w:val="center"/>
              <w:rPr>
                <w:rFonts w:ascii="宋体" w:hAnsi="宋体" w:cs="仿宋"/>
                <w:b/>
                <w:color w:val="000000"/>
                <w:sz w:val="24"/>
              </w:rPr>
            </w:pPr>
            <w:r>
              <w:rPr>
                <w:rFonts w:hint="eastAsia" w:ascii="宋体" w:hAnsi="宋体" w:cs="仿宋"/>
                <w:b/>
                <w:color w:val="000000"/>
                <w:kern w:val="0"/>
                <w:sz w:val="24"/>
              </w:rPr>
              <w:t>标准分值</w:t>
            </w:r>
          </w:p>
        </w:tc>
        <w:tc>
          <w:tcPr>
            <w:tcW w:w="1984" w:type="dxa"/>
            <w:tcBorders>
              <w:top w:val="single" w:color="000000" w:sz="4" w:space="0"/>
              <w:left w:val="single" w:color="000000" w:sz="4" w:space="0"/>
              <w:bottom w:val="single" w:color="000000" w:sz="4" w:space="0"/>
              <w:right w:val="single" w:color="000000" w:sz="4" w:space="0"/>
            </w:tcBorders>
            <w:vAlign w:val="center"/>
          </w:tcPr>
          <w:p w14:paraId="6829D19B">
            <w:pPr>
              <w:jc w:val="center"/>
              <w:rPr>
                <w:rFonts w:ascii="宋体" w:hAnsi="宋体" w:cs="仿宋"/>
                <w:b/>
                <w:color w:val="000000"/>
                <w:sz w:val="24"/>
              </w:rPr>
            </w:pPr>
            <w:r>
              <w:rPr>
                <w:rFonts w:hint="eastAsia" w:ascii="宋体" w:hAnsi="宋体" w:cs="仿宋"/>
                <w:b/>
                <w:color w:val="000000"/>
                <w:sz w:val="24"/>
              </w:rPr>
              <w:t>评价得分</w:t>
            </w:r>
          </w:p>
        </w:tc>
        <w:tc>
          <w:tcPr>
            <w:tcW w:w="1985" w:type="dxa"/>
            <w:tcBorders>
              <w:top w:val="single" w:color="000000" w:sz="4" w:space="0"/>
              <w:left w:val="single" w:color="000000" w:sz="4" w:space="0"/>
              <w:bottom w:val="single" w:color="000000" w:sz="4" w:space="0"/>
              <w:right w:val="single" w:color="000000" w:sz="4" w:space="0"/>
            </w:tcBorders>
            <w:vAlign w:val="center"/>
          </w:tcPr>
          <w:p w14:paraId="3658DE4B">
            <w:pPr>
              <w:jc w:val="center"/>
              <w:rPr>
                <w:rFonts w:ascii="宋体" w:hAnsi="宋体" w:cs="仿宋"/>
                <w:b/>
                <w:color w:val="000000"/>
                <w:sz w:val="24"/>
              </w:rPr>
            </w:pPr>
            <w:r>
              <w:rPr>
                <w:rFonts w:hint="eastAsia" w:ascii="宋体" w:hAnsi="宋体" w:cs="仿宋"/>
                <w:b/>
                <w:color w:val="000000"/>
                <w:sz w:val="24"/>
              </w:rPr>
              <w:t>评价等级</w:t>
            </w:r>
          </w:p>
        </w:tc>
      </w:tr>
      <w:tr w14:paraId="7A2F3226">
        <w:tblPrEx>
          <w:tblCellMar>
            <w:top w:w="15" w:type="dxa"/>
            <w:left w:w="15" w:type="dxa"/>
            <w:bottom w:w="15" w:type="dxa"/>
            <w:right w:w="15" w:type="dxa"/>
          </w:tblCellMar>
        </w:tblPrEx>
        <w:trPr>
          <w:trHeight w:val="380" w:hRule="atLeast"/>
        </w:trPr>
        <w:tc>
          <w:tcPr>
            <w:tcW w:w="2410" w:type="dxa"/>
            <w:tcBorders>
              <w:top w:val="single" w:color="000000" w:sz="4" w:space="0"/>
              <w:left w:val="single" w:color="000000" w:sz="4" w:space="0"/>
              <w:bottom w:val="single" w:color="000000" w:sz="4" w:space="0"/>
              <w:right w:val="single" w:color="000000" w:sz="4" w:space="0"/>
            </w:tcBorders>
            <w:vAlign w:val="center"/>
          </w:tcPr>
          <w:p w14:paraId="1AE1F79B">
            <w:pPr>
              <w:widowControl/>
              <w:jc w:val="center"/>
              <w:textAlignment w:val="center"/>
              <w:rPr>
                <w:rFonts w:ascii="宋体" w:hAnsi="宋体" w:cs="仿宋"/>
                <w:color w:val="000000"/>
                <w:sz w:val="24"/>
              </w:rPr>
            </w:pPr>
            <w:r>
              <w:rPr>
                <w:rFonts w:hint="eastAsia" w:ascii="宋体" w:hAnsi="宋体" w:cs="仿宋"/>
                <w:color w:val="000000"/>
                <w:kern w:val="0"/>
                <w:sz w:val="24"/>
              </w:rPr>
              <w:t>运行成本</w:t>
            </w:r>
          </w:p>
        </w:tc>
        <w:tc>
          <w:tcPr>
            <w:tcW w:w="1985" w:type="dxa"/>
            <w:tcBorders>
              <w:top w:val="single" w:color="000000" w:sz="4" w:space="0"/>
              <w:left w:val="single" w:color="000000" w:sz="4" w:space="0"/>
              <w:bottom w:val="single" w:color="000000" w:sz="4" w:space="0"/>
              <w:right w:val="single" w:color="000000" w:sz="4" w:space="0"/>
            </w:tcBorders>
            <w:vAlign w:val="center"/>
          </w:tcPr>
          <w:p w14:paraId="5A4E798B">
            <w:pPr>
              <w:widowControl/>
              <w:jc w:val="center"/>
              <w:textAlignment w:val="center"/>
              <w:rPr>
                <w:rFonts w:ascii="宋体" w:hAnsi="宋体" w:cs="仿宋"/>
                <w:color w:val="00000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14:paraId="7EFE99EA">
            <w:pPr>
              <w:widowControl/>
              <w:jc w:val="center"/>
              <w:textAlignment w:val="center"/>
              <w:rPr>
                <w:rFonts w:ascii="宋体" w:hAnsi="宋体" w:cs="仿宋"/>
                <w:color w:val="000000"/>
                <w:sz w:val="24"/>
              </w:rPr>
            </w:pPr>
            <w:r>
              <w:rPr>
                <w:rFonts w:hint="eastAsia" w:ascii="宋体" w:hAnsi="宋体" w:cs="仿宋"/>
                <w:color w:val="000000"/>
                <w:sz w:val="24"/>
              </w:rPr>
              <w:t>15</w:t>
            </w:r>
          </w:p>
        </w:tc>
        <w:tc>
          <w:tcPr>
            <w:tcW w:w="1985" w:type="dxa"/>
            <w:tcBorders>
              <w:top w:val="single" w:color="000000" w:sz="4" w:space="0"/>
              <w:left w:val="single" w:color="000000" w:sz="4" w:space="0"/>
              <w:bottom w:val="single" w:color="000000" w:sz="4" w:space="0"/>
              <w:right w:val="single" w:color="000000" w:sz="4" w:space="0"/>
            </w:tcBorders>
            <w:vAlign w:val="center"/>
          </w:tcPr>
          <w:p w14:paraId="64B78657">
            <w:pPr>
              <w:widowControl/>
              <w:jc w:val="center"/>
              <w:textAlignment w:val="center"/>
              <w:rPr>
                <w:rFonts w:ascii="宋体" w:hAnsi="宋体" w:cs="仿宋"/>
                <w:color w:val="000000"/>
                <w:sz w:val="24"/>
              </w:rPr>
            </w:pPr>
            <w:r>
              <w:rPr>
                <w:rFonts w:ascii="宋体" w:hAnsi="宋体" w:cs="仿宋"/>
                <w:color w:val="000000"/>
                <w:sz w:val="24"/>
              </w:rPr>
              <w:t>中</w:t>
            </w:r>
          </w:p>
        </w:tc>
      </w:tr>
      <w:tr w14:paraId="5929E44E">
        <w:tblPrEx>
          <w:tblCellMar>
            <w:top w:w="15" w:type="dxa"/>
            <w:left w:w="15" w:type="dxa"/>
            <w:bottom w:w="15" w:type="dxa"/>
            <w:right w:w="15" w:type="dxa"/>
          </w:tblCellMar>
        </w:tblPrEx>
        <w:trPr>
          <w:trHeight w:val="374" w:hRule="atLeast"/>
        </w:trPr>
        <w:tc>
          <w:tcPr>
            <w:tcW w:w="2410" w:type="dxa"/>
            <w:tcBorders>
              <w:top w:val="single" w:color="000000" w:sz="4" w:space="0"/>
              <w:left w:val="single" w:color="000000" w:sz="4" w:space="0"/>
              <w:bottom w:val="single" w:color="000000" w:sz="4" w:space="0"/>
              <w:right w:val="single" w:color="000000" w:sz="4" w:space="0"/>
            </w:tcBorders>
            <w:vAlign w:val="center"/>
          </w:tcPr>
          <w:p w14:paraId="0C266A26">
            <w:pPr>
              <w:widowControl/>
              <w:jc w:val="center"/>
              <w:textAlignment w:val="center"/>
              <w:rPr>
                <w:rFonts w:ascii="宋体" w:hAnsi="宋体" w:cs="仿宋"/>
                <w:color w:val="000000"/>
                <w:sz w:val="24"/>
              </w:rPr>
            </w:pPr>
            <w:r>
              <w:rPr>
                <w:rFonts w:hint="eastAsia" w:ascii="宋体" w:hAnsi="宋体" w:cs="仿宋"/>
                <w:color w:val="000000"/>
                <w:kern w:val="0"/>
                <w:sz w:val="24"/>
              </w:rPr>
              <w:t>管理效率</w:t>
            </w:r>
          </w:p>
        </w:tc>
        <w:tc>
          <w:tcPr>
            <w:tcW w:w="1985" w:type="dxa"/>
            <w:tcBorders>
              <w:top w:val="single" w:color="000000" w:sz="4" w:space="0"/>
              <w:left w:val="single" w:color="000000" w:sz="4" w:space="0"/>
              <w:bottom w:val="single" w:color="000000" w:sz="4" w:space="0"/>
              <w:right w:val="single" w:color="000000" w:sz="4" w:space="0"/>
            </w:tcBorders>
            <w:vAlign w:val="center"/>
          </w:tcPr>
          <w:p w14:paraId="2DA42176">
            <w:pPr>
              <w:widowControl/>
              <w:jc w:val="center"/>
              <w:textAlignment w:val="center"/>
              <w:rPr>
                <w:rFonts w:ascii="宋体" w:hAnsi="宋体" w:cs="仿宋"/>
                <w:color w:val="000000"/>
                <w:sz w:val="24"/>
              </w:rPr>
            </w:pPr>
            <w:r>
              <w:rPr>
                <w:rFonts w:hint="eastAsia" w:ascii="宋体" w:hAnsi="宋体" w:cs="仿宋"/>
                <w:color w:val="000000"/>
                <w:kern w:val="0"/>
                <w:sz w:val="24"/>
              </w:rPr>
              <w:t>30</w:t>
            </w:r>
          </w:p>
        </w:tc>
        <w:tc>
          <w:tcPr>
            <w:tcW w:w="1984" w:type="dxa"/>
            <w:tcBorders>
              <w:top w:val="single" w:color="000000" w:sz="4" w:space="0"/>
              <w:left w:val="single" w:color="000000" w:sz="4" w:space="0"/>
              <w:bottom w:val="single" w:color="000000" w:sz="4" w:space="0"/>
              <w:right w:val="single" w:color="000000" w:sz="4" w:space="0"/>
            </w:tcBorders>
            <w:vAlign w:val="center"/>
          </w:tcPr>
          <w:p w14:paraId="5B2C6082">
            <w:pPr>
              <w:widowControl/>
              <w:jc w:val="center"/>
              <w:textAlignment w:val="center"/>
              <w:rPr>
                <w:rFonts w:ascii="宋体" w:hAnsi="宋体" w:cs="仿宋"/>
                <w:color w:val="000000"/>
                <w:sz w:val="24"/>
              </w:rPr>
            </w:pPr>
            <w:r>
              <w:rPr>
                <w:rFonts w:hint="eastAsia" w:ascii="宋体" w:hAnsi="宋体" w:cs="仿宋"/>
                <w:color w:val="000000"/>
                <w:sz w:val="24"/>
              </w:rPr>
              <w:t>19</w:t>
            </w:r>
          </w:p>
        </w:tc>
        <w:tc>
          <w:tcPr>
            <w:tcW w:w="1985" w:type="dxa"/>
            <w:tcBorders>
              <w:top w:val="single" w:color="000000" w:sz="4" w:space="0"/>
              <w:left w:val="single" w:color="000000" w:sz="4" w:space="0"/>
              <w:bottom w:val="single" w:color="000000" w:sz="4" w:space="0"/>
              <w:right w:val="single" w:color="000000" w:sz="4" w:space="0"/>
            </w:tcBorders>
            <w:vAlign w:val="center"/>
          </w:tcPr>
          <w:p w14:paraId="41E8EFB7">
            <w:pPr>
              <w:widowControl/>
              <w:jc w:val="center"/>
              <w:textAlignment w:val="center"/>
              <w:rPr>
                <w:rFonts w:ascii="宋体" w:hAnsi="宋体" w:cs="仿宋"/>
                <w:color w:val="000000"/>
                <w:sz w:val="24"/>
              </w:rPr>
            </w:pPr>
            <w:r>
              <w:rPr>
                <w:rFonts w:hint="eastAsia" w:ascii="宋体" w:hAnsi="宋体" w:cs="仿宋"/>
                <w:color w:val="000000"/>
                <w:sz w:val="24"/>
              </w:rPr>
              <w:t>中</w:t>
            </w:r>
          </w:p>
        </w:tc>
      </w:tr>
      <w:tr w14:paraId="161C3EAA">
        <w:tblPrEx>
          <w:tblCellMar>
            <w:top w:w="15" w:type="dxa"/>
            <w:left w:w="15" w:type="dxa"/>
            <w:bottom w:w="15" w:type="dxa"/>
            <w:right w:w="15" w:type="dxa"/>
          </w:tblCellMar>
        </w:tblPrEx>
        <w:trPr>
          <w:trHeight w:val="401" w:hRule="atLeast"/>
        </w:trPr>
        <w:tc>
          <w:tcPr>
            <w:tcW w:w="2410" w:type="dxa"/>
            <w:tcBorders>
              <w:top w:val="single" w:color="000000" w:sz="4" w:space="0"/>
              <w:left w:val="single" w:color="000000" w:sz="4" w:space="0"/>
              <w:bottom w:val="single" w:color="000000" w:sz="4" w:space="0"/>
              <w:right w:val="single" w:color="000000" w:sz="4" w:space="0"/>
            </w:tcBorders>
            <w:vAlign w:val="center"/>
          </w:tcPr>
          <w:p w14:paraId="6E789982">
            <w:pPr>
              <w:widowControl/>
              <w:jc w:val="center"/>
              <w:textAlignment w:val="center"/>
              <w:rPr>
                <w:rFonts w:ascii="宋体" w:hAnsi="宋体" w:cs="仿宋"/>
                <w:color w:val="000000"/>
                <w:sz w:val="24"/>
              </w:rPr>
            </w:pPr>
            <w:r>
              <w:rPr>
                <w:rFonts w:hint="eastAsia" w:ascii="宋体" w:hAnsi="宋体" w:cs="仿宋"/>
                <w:color w:val="000000"/>
                <w:kern w:val="0"/>
                <w:sz w:val="24"/>
              </w:rPr>
              <w:t>履职效能</w:t>
            </w:r>
          </w:p>
        </w:tc>
        <w:tc>
          <w:tcPr>
            <w:tcW w:w="1985" w:type="dxa"/>
            <w:tcBorders>
              <w:top w:val="single" w:color="000000" w:sz="4" w:space="0"/>
              <w:left w:val="single" w:color="000000" w:sz="4" w:space="0"/>
              <w:bottom w:val="single" w:color="000000" w:sz="4" w:space="0"/>
              <w:right w:val="single" w:color="000000" w:sz="4" w:space="0"/>
            </w:tcBorders>
            <w:vAlign w:val="center"/>
          </w:tcPr>
          <w:p w14:paraId="4883D509">
            <w:pPr>
              <w:widowControl/>
              <w:jc w:val="center"/>
              <w:textAlignment w:val="center"/>
              <w:rPr>
                <w:rFonts w:ascii="宋体" w:hAnsi="宋体" w:cs="仿宋"/>
                <w:color w:val="00000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14:paraId="497E6E83">
            <w:pPr>
              <w:widowControl/>
              <w:jc w:val="center"/>
              <w:textAlignment w:val="center"/>
              <w:rPr>
                <w:rFonts w:ascii="宋体" w:hAnsi="宋体" w:cs="仿宋"/>
                <w:color w:val="000000"/>
                <w:sz w:val="24"/>
              </w:rPr>
            </w:pPr>
            <w:r>
              <w:rPr>
                <w:rFonts w:hint="eastAsia" w:ascii="宋体" w:hAnsi="宋体" w:cs="仿宋"/>
                <w:color w:val="000000"/>
                <w:sz w:val="24"/>
              </w:rPr>
              <w:t>20</w:t>
            </w:r>
          </w:p>
        </w:tc>
        <w:tc>
          <w:tcPr>
            <w:tcW w:w="1985" w:type="dxa"/>
            <w:tcBorders>
              <w:top w:val="single" w:color="000000" w:sz="4" w:space="0"/>
              <w:left w:val="single" w:color="000000" w:sz="4" w:space="0"/>
              <w:bottom w:val="single" w:color="000000" w:sz="4" w:space="0"/>
              <w:right w:val="single" w:color="000000" w:sz="4" w:space="0"/>
            </w:tcBorders>
            <w:vAlign w:val="center"/>
          </w:tcPr>
          <w:p w14:paraId="64211DA9">
            <w:pPr>
              <w:widowControl/>
              <w:jc w:val="center"/>
              <w:textAlignment w:val="center"/>
              <w:rPr>
                <w:rFonts w:ascii="宋体" w:hAnsi="宋体" w:cs="仿宋"/>
                <w:color w:val="000000"/>
                <w:sz w:val="24"/>
              </w:rPr>
            </w:pPr>
            <w:r>
              <w:rPr>
                <w:rFonts w:hint="eastAsia" w:ascii="宋体" w:hAnsi="宋体" w:cs="仿宋"/>
                <w:color w:val="000000"/>
                <w:sz w:val="24"/>
              </w:rPr>
              <w:t>优</w:t>
            </w:r>
          </w:p>
        </w:tc>
      </w:tr>
      <w:tr w14:paraId="2B1800C8">
        <w:tblPrEx>
          <w:tblCellMar>
            <w:top w:w="15" w:type="dxa"/>
            <w:left w:w="15" w:type="dxa"/>
            <w:bottom w:w="15" w:type="dxa"/>
            <w:right w:w="15" w:type="dxa"/>
          </w:tblCellMar>
        </w:tblPrEx>
        <w:trPr>
          <w:trHeight w:val="409" w:hRule="atLeast"/>
        </w:trPr>
        <w:tc>
          <w:tcPr>
            <w:tcW w:w="2410" w:type="dxa"/>
            <w:tcBorders>
              <w:top w:val="single" w:color="000000" w:sz="4" w:space="0"/>
              <w:left w:val="single" w:color="000000" w:sz="4" w:space="0"/>
              <w:bottom w:val="single" w:color="000000" w:sz="4" w:space="0"/>
              <w:right w:val="single" w:color="000000" w:sz="4" w:space="0"/>
            </w:tcBorders>
            <w:vAlign w:val="center"/>
          </w:tcPr>
          <w:p w14:paraId="013E3B6E">
            <w:pPr>
              <w:widowControl/>
              <w:jc w:val="center"/>
              <w:textAlignment w:val="center"/>
              <w:rPr>
                <w:rFonts w:ascii="宋体" w:hAnsi="宋体" w:cs="仿宋"/>
                <w:color w:val="000000"/>
                <w:kern w:val="0"/>
                <w:sz w:val="24"/>
              </w:rPr>
            </w:pPr>
            <w:r>
              <w:rPr>
                <w:rFonts w:hint="eastAsia" w:ascii="宋体" w:hAnsi="宋体" w:cs="仿宋"/>
                <w:color w:val="000000"/>
                <w:kern w:val="0"/>
                <w:sz w:val="24"/>
              </w:rPr>
              <w:t>社会效益</w:t>
            </w:r>
          </w:p>
        </w:tc>
        <w:tc>
          <w:tcPr>
            <w:tcW w:w="1985" w:type="dxa"/>
            <w:tcBorders>
              <w:top w:val="single" w:color="000000" w:sz="4" w:space="0"/>
              <w:left w:val="single" w:color="000000" w:sz="4" w:space="0"/>
              <w:bottom w:val="single" w:color="000000" w:sz="4" w:space="0"/>
              <w:right w:val="single" w:color="000000" w:sz="4" w:space="0"/>
            </w:tcBorders>
            <w:vAlign w:val="center"/>
          </w:tcPr>
          <w:p w14:paraId="4FEA9F14">
            <w:pPr>
              <w:widowControl/>
              <w:jc w:val="center"/>
              <w:textAlignment w:val="center"/>
              <w:rPr>
                <w:rFonts w:ascii="宋体" w:hAnsi="宋体" w:cs="仿宋"/>
                <w:color w:val="000000"/>
                <w:kern w:val="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14:paraId="5092BDB8">
            <w:pPr>
              <w:widowControl/>
              <w:jc w:val="center"/>
              <w:textAlignment w:val="center"/>
              <w:rPr>
                <w:rFonts w:ascii="宋体" w:hAnsi="宋体" w:cs="仿宋"/>
                <w:color w:val="000000"/>
                <w:kern w:val="0"/>
                <w:sz w:val="24"/>
              </w:rPr>
            </w:pPr>
            <w:r>
              <w:rPr>
                <w:rFonts w:hint="eastAsia" w:ascii="宋体" w:hAnsi="宋体" w:cs="仿宋"/>
                <w:color w:val="000000"/>
                <w:kern w:val="0"/>
                <w:sz w:val="24"/>
              </w:rPr>
              <w:t>20</w:t>
            </w:r>
          </w:p>
        </w:tc>
        <w:tc>
          <w:tcPr>
            <w:tcW w:w="1985" w:type="dxa"/>
            <w:tcBorders>
              <w:top w:val="single" w:color="000000" w:sz="4" w:space="0"/>
              <w:left w:val="single" w:color="000000" w:sz="4" w:space="0"/>
              <w:bottom w:val="single" w:color="000000" w:sz="4" w:space="0"/>
              <w:right w:val="single" w:color="000000" w:sz="4" w:space="0"/>
            </w:tcBorders>
            <w:vAlign w:val="center"/>
          </w:tcPr>
          <w:p w14:paraId="46FE9FF3">
            <w:pPr>
              <w:widowControl/>
              <w:jc w:val="center"/>
              <w:textAlignment w:val="center"/>
              <w:rPr>
                <w:rFonts w:ascii="宋体" w:hAnsi="宋体" w:cs="仿宋"/>
                <w:color w:val="000000"/>
                <w:sz w:val="24"/>
              </w:rPr>
            </w:pPr>
            <w:r>
              <w:rPr>
                <w:rFonts w:hint="eastAsia" w:ascii="宋体" w:hAnsi="宋体" w:cs="仿宋"/>
                <w:color w:val="000000"/>
                <w:sz w:val="24"/>
              </w:rPr>
              <w:t>优</w:t>
            </w:r>
          </w:p>
        </w:tc>
      </w:tr>
      <w:tr w14:paraId="05D56BC3">
        <w:tblPrEx>
          <w:tblCellMar>
            <w:top w:w="15" w:type="dxa"/>
            <w:left w:w="15" w:type="dxa"/>
            <w:bottom w:w="15" w:type="dxa"/>
            <w:right w:w="15" w:type="dxa"/>
          </w:tblCellMar>
        </w:tblPrEx>
        <w:trPr>
          <w:trHeight w:val="409" w:hRule="atLeast"/>
        </w:trPr>
        <w:tc>
          <w:tcPr>
            <w:tcW w:w="2410" w:type="dxa"/>
            <w:tcBorders>
              <w:top w:val="single" w:color="000000" w:sz="4" w:space="0"/>
              <w:left w:val="single" w:color="000000" w:sz="4" w:space="0"/>
              <w:bottom w:val="single" w:color="000000" w:sz="4" w:space="0"/>
              <w:right w:val="single" w:color="000000" w:sz="4" w:space="0"/>
            </w:tcBorders>
            <w:vAlign w:val="center"/>
          </w:tcPr>
          <w:p w14:paraId="00439A4C">
            <w:pPr>
              <w:widowControl/>
              <w:jc w:val="center"/>
              <w:textAlignment w:val="center"/>
              <w:rPr>
                <w:rFonts w:ascii="宋体" w:hAnsi="宋体" w:cs="仿宋"/>
                <w:color w:val="000000"/>
                <w:sz w:val="24"/>
              </w:rPr>
            </w:pPr>
            <w:r>
              <w:rPr>
                <w:rFonts w:hint="eastAsia" w:ascii="宋体" w:hAnsi="宋体" w:cs="仿宋"/>
                <w:color w:val="000000"/>
                <w:kern w:val="0"/>
                <w:sz w:val="24"/>
              </w:rPr>
              <w:t>服务对象满意度</w:t>
            </w:r>
          </w:p>
        </w:tc>
        <w:tc>
          <w:tcPr>
            <w:tcW w:w="1985" w:type="dxa"/>
            <w:tcBorders>
              <w:top w:val="single" w:color="000000" w:sz="4" w:space="0"/>
              <w:left w:val="single" w:color="000000" w:sz="4" w:space="0"/>
              <w:bottom w:val="single" w:color="000000" w:sz="4" w:space="0"/>
              <w:right w:val="single" w:color="000000" w:sz="4" w:space="0"/>
            </w:tcBorders>
            <w:vAlign w:val="center"/>
          </w:tcPr>
          <w:p w14:paraId="3E634726">
            <w:pPr>
              <w:widowControl/>
              <w:jc w:val="center"/>
              <w:textAlignment w:val="center"/>
              <w:rPr>
                <w:rFonts w:ascii="宋体" w:hAnsi="宋体" w:cs="仿宋"/>
                <w:color w:val="000000"/>
                <w:sz w:val="24"/>
              </w:rPr>
            </w:pPr>
            <w:r>
              <w:rPr>
                <w:rFonts w:hint="eastAsia" w:ascii="宋体" w:hAnsi="宋体" w:cs="仿宋"/>
                <w:color w:val="000000"/>
                <w:kern w:val="0"/>
                <w:sz w:val="24"/>
              </w:rPr>
              <w:t>10</w:t>
            </w:r>
          </w:p>
        </w:tc>
        <w:tc>
          <w:tcPr>
            <w:tcW w:w="1984" w:type="dxa"/>
            <w:tcBorders>
              <w:top w:val="single" w:color="000000" w:sz="4" w:space="0"/>
              <w:left w:val="single" w:color="000000" w:sz="4" w:space="0"/>
              <w:bottom w:val="single" w:color="000000" w:sz="4" w:space="0"/>
              <w:right w:val="single" w:color="000000" w:sz="4" w:space="0"/>
            </w:tcBorders>
            <w:vAlign w:val="center"/>
          </w:tcPr>
          <w:p w14:paraId="7795F6BE">
            <w:pPr>
              <w:widowControl/>
              <w:jc w:val="center"/>
              <w:textAlignment w:val="center"/>
              <w:rPr>
                <w:rFonts w:ascii="宋体" w:hAnsi="宋体" w:cs="仿宋"/>
                <w:color w:val="000000"/>
                <w:sz w:val="24"/>
              </w:rPr>
            </w:pPr>
            <w:r>
              <w:rPr>
                <w:rFonts w:hint="eastAsia" w:ascii="宋体" w:hAnsi="宋体" w:cs="仿宋"/>
                <w:color w:val="000000"/>
                <w:sz w:val="24"/>
              </w:rPr>
              <w:t>10</w:t>
            </w:r>
          </w:p>
        </w:tc>
        <w:tc>
          <w:tcPr>
            <w:tcW w:w="1985" w:type="dxa"/>
            <w:tcBorders>
              <w:top w:val="single" w:color="000000" w:sz="4" w:space="0"/>
              <w:left w:val="single" w:color="000000" w:sz="4" w:space="0"/>
              <w:bottom w:val="single" w:color="000000" w:sz="4" w:space="0"/>
              <w:right w:val="single" w:color="000000" w:sz="4" w:space="0"/>
            </w:tcBorders>
            <w:vAlign w:val="center"/>
          </w:tcPr>
          <w:p w14:paraId="32809CD1">
            <w:pPr>
              <w:widowControl/>
              <w:jc w:val="center"/>
              <w:textAlignment w:val="center"/>
              <w:rPr>
                <w:rFonts w:ascii="宋体" w:hAnsi="宋体" w:cs="仿宋"/>
                <w:color w:val="000000"/>
                <w:sz w:val="24"/>
              </w:rPr>
            </w:pPr>
            <w:r>
              <w:rPr>
                <w:rFonts w:hint="eastAsia" w:ascii="宋体" w:hAnsi="宋体" w:cs="仿宋"/>
                <w:color w:val="000000"/>
                <w:sz w:val="24"/>
              </w:rPr>
              <w:t>优</w:t>
            </w:r>
          </w:p>
        </w:tc>
      </w:tr>
      <w:tr w14:paraId="6A2630AF">
        <w:tblPrEx>
          <w:tblCellMar>
            <w:top w:w="15" w:type="dxa"/>
            <w:left w:w="15" w:type="dxa"/>
            <w:bottom w:w="15" w:type="dxa"/>
            <w:right w:w="15" w:type="dxa"/>
          </w:tblCellMar>
        </w:tblPrEx>
        <w:trPr>
          <w:trHeight w:val="375" w:hRule="atLeast"/>
        </w:trPr>
        <w:tc>
          <w:tcPr>
            <w:tcW w:w="2410" w:type="dxa"/>
            <w:tcBorders>
              <w:top w:val="single" w:color="000000" w:sz="4" w:space="0"/>
              <w:left w:val="single" w:color="000000" w:sz="4" w:space="0"/>
              <w:bottom w:val="single" w:color="000000" w:sz="4" w:space="0"/>
              <w:right w:val="single" w:color="000000" w:sz="4" w:space="0"/>
            </w:tcBorders>
            <w:vAlign w:val="center"/>
          </w:tcPr>
          <w:p w14:paraId="7E969445">
            <w:pPr>
              <w:widowControl/>
              <w:jc w:val="center"/>
              <w:textAlignment w:val="center"/>
              <w:rPr>
                <w:rFonts w:ascii="宋体" w:hAnsi="宋体" w:cs="仿宋"/>
                <w:b/>
                <w:color w:val="000000"/>
                <w:sz w:val="24"/>
              </w:rPr>
            </w:pPr>
            <w:r>
              <w:rPr>
                <w:rFonts w:hint="eastAsia" w:ascii="宋体" w:hAnsi="宋体" w:cs="仿宋"/>
                <w:b/>
                <w:color w:val="000000"/>
                <w:kern w:val="0"/>
                <w:sz w:val="24"/>
              </w:rPr>
              <w:t>综合得分与等级</w:t>
            </w:r>
          </w:p>
        </w:tc>
        <w:tc>
          <w:tcPr>
            <w:tcW w:w="1985" w:type="dxa"/>
            <w:tcBorders>
              <w:top w:val="single" w:color="000000" w:sz="4" w:space="0"/>
              <w:left w:val="single" w:color="000000" w:sz="4" w:space="0"/>
              <w:bottom w:val="single" w:color="000000" w:sz="4" w:space="0"/>
              <w:right w:val="single" w:color="000000" w:sz="4" w:space="0"/>
            </w:tcBorders>
            <w:vAlign w:val="center"/>
          </w:tcPr>
          <w:p w14:paraId="1FC18F31">
            <w:pPr>
              <w:widowControl/>
              <w:jc w:val="center"/>
              <w:textAlignment w:val="center"/>
              <w:rPr>
                <w:rFonts w:ascii="宋体" w:hAnsi="宋体" w:cs="仿宋"/>
                <w:b/>
                <w:color w:val="000000"/>
                <w:sz w:val="24"/>
              </w:rPr>
            </w:pPr>
            <w:r>
              <w:rPr>
                <w:rFonts w:hint="eastAsia" w:ascii="宋体" w:hAnsi="宋体" w:cs="仿宋"/>
                <w:b/>
                <w:color w:val="000000"/>
                <w:kern w:val="0"/>
                <w:sz w:val="24"/>
              </w:rPr>
              <w:t>100</w:t>
            </w:r>
          </w:p>
        </w:tc>
        <w:tc>
          <w:tcPr>
            <w:tcW w:w="1984" w:type="dxa"/>
            <w:tcBorders>
              <w:top w:val="single" w:color="000000" w:sz="4" w:space="0"/>
              <w:left w:val="single" w:color="000000" w:sz="4" w:space="0"/>
              <w:bottom w:val="single" w:color="000000" w:sz="4" w:space="0"/>
              <w:right w:val="single" w:color="000000" w:sz="4" w:space="0"/>
            </w:tcBorders>
            <w:vAlign w:val="center"/>
          </w:tcPr>
          <w:p w14:paraId="6C9B59D5">
            <w:pPr>
              <w:widowControl/>
              <w:jc w:val="center"/>
              <w:textAlignment w:val="center"/>
              <w:rPr>
                <w:rFonts w:ascii="宋体" w:hAnsi="宋体" w:cs="仿宋"/>
                <w:b/>
                <w:color w:val="000000"/>
                <w:sz w:val="24"/>
              </w:rPr>
            </w:pPr>
            <w:r>
              <w:rPr>
                <w:rFonts w:hint="eastAsia" w:ascii="宋体" w:hAnsi="宋体" w:cs="仿宋"/>
                <w:b/>
                <w:color w:val="000000"/>
                <w:sz w:val="24"/>
              </w:rPr>
              <w:t>84</w:t>
            </w:r>
          </w:p>
        </w:tc>
        <w:tc>
          <w:tcPr>
            <w:tcW w:w="1985" w:type="dxa"/>
            <w:tcBorders>
              <w:top w:val="single" w:color="000000" w:sz="4" w:space="0"/>
              <w:left w:val="single" w:color="000000" w:sz="4" w:space="0"/>
              <w:bottom w:val="single" w:color="000000" w:sz="4" w:space="0"/>
              <w:right w:val="single" w:color="000000" w:sz="4" w:space="0"/>
            </w:tcBorders>
            <w:vAlign w:val="center"/>
          </w:tcPr>
          <w:p w14:paraId="227FFF72">
            <w:pPr>
              <w:widowControl/>
              <w:jc w:val="center"/>
              <w:textAlignment w:val="center"/>
              <w:rPr>
                <w:rFonts w:ascii="宋体" w:hAnsi="宋体" w:cs="仿宋"/>
                <w:b/>
                <w:color w:val="000000"/>
                <w:sz w:val="24"/>
              </w:rPr>
            </w:pPr>
            <w:r>
              <w:rPr>
                <w:rFonts w:hint="eastAsia" w:ascii="宋体" w:hAnsi="宋体" w:cs="仿宋"/>
                <w:b/>
                <w:color w:val="000000"/>
                <w:kern w:val="0"/>
                <w:sz w:val="24"/>
              </w:rPr>
              <w:t>良</w:t>
            </w:r>
          </w:p>
        </w:tc>
      </w:tr>
    </w:tbl>
    <w:p w14:paraId="1A1F3D43">
      <w:pPr>
        <w:spacing w:line="560" w:lineRule="exact"/>
        <w:ind w:firstLine="640" w:firstLineChars="200"/>
        <w:rPr>
          <w:rFonts w:ascii="黑体" w:hAnsi="黑体" w:eastAsia="黑体"/>
          <w:sz w:val="32"/>
          <w:szCs w:val="32"/>
        </w:rPr>
      </w:pPr>
      <w:r>
        <w:rPr>
          <w:rFonts w:hint="eastAsia" w:ascii="黑体" w:hAnsi="黑体" w:eastAsia="黑体"/>
          <w:sz w:val="32"/>
          <w:szCs w:val="32"/>
        </w:rPr>
        <w:t>2.4 上年度评价结果应用情况</w:t>
      </w:r>
    </w:p>
    <w:p w14:paraId="2AC3B017">
      <w:pPr>
        <w:spacing w:line="560" w:lineRule="exact"/>
        <w:ind w:firstLine="633" w:firstLineChars="198"/>
        <w:rPr>
          <w:rFonts w:ascii="仿宋" w:hAnsi="仿宋" w:eastAsia="仿宋" w:cs="宋体"/>
          <w:color w:val="000000"/>
          <w:kern w:val="0"/>
          <w:sz w:val="32"/>
          <w:szCs w:val="32"/>
        </w:rPr>
      </w:pPr>
      <w:r>
        <w:rPr>
          <w:rFonts w:hint="eastAsia" w:ascii="仿宋" w:hAnsi="仿宋" w:eastAsia="仿宋" w:cs="宋体"/>
          <w:color w:val="000000"/>
          <w:kern w:val="0"/>
          <w:sz w:val="32"/>
          <w:szCs w:val="32"/>
        </w:rPr>
        <w:t>上年度未开展部门整体支出绩效评价工作，暂无评价结果应用情况。</w:t>
      </w:r>
    </w:p>
    <w:p w14:paraId="33455736">
      <w:pPr>
        <w:spacing w:line="560" w:lineRule="exact"/>
        <w:ind w:firstLine="640" w:firstLineChars="200"/>
        <w:rPr>
          <w:rFonts w:ascii="黑体" w:hAnsi="黑体" w:eastAsia="黑体" w:cs="楷体"/>
          <w:bCs/>
          <w:color w:val="000000"/>
          <w:kern w:val="0"/>
          <w:sz w:val="32"/>
          <w:szCs w:val="32"/>
        </w:rPr>
      </w:pPr>
      <w:r>
        <w:rPr>
          <w:rFonts w:hint="eastAsia" w:ascii="黑体" w:hAnsi="黑体" w:eastAsia="黑体"/>
          <w:sz w:val="32"/>
          <w:szCs w:val="32"/>
        </w:rPr>
        <w:t>2.5</w:t>
      </w:r>
      <w:bookmarkStart w:id="57" w:name="_Toc4969"/>
      <w:r>
        <w:rPr>
          <w:rFonts w:hint="eastAsia" w:ascii="黑体" w:hAnsi="黑体" w:eastAsia="黑体" w:cs="楷体"/>
          <w:bCs/>
          <w:color w:val="000000"/>
          <w:kern w:val="0"/>
          <w:sz w:val="32"/>
          <w:szCs w:val="32"/>
        </w:rPr>
        <w:t>其他需说明的问题</w:t>
      </w:r>
      <w:bookmarkEnd w:id="57"/>
    </w:p>
    <w:p w14:paraId="5BCC3077">
      <w:pPr>
        <w:spacing w:line="560" w:lineRule="exact"/>
        <w:ind w:firstLine="643" w:firstLineChars="200"/>
        <w:rPr>
          <w:rFonts w:ascii="黑体" w:hAnsi="黑体" w:eastAsia="黑体"/>
          <w:sz w:val="32"/>
          <w:szCs w:val="32"/>
        </w:rPr>
      </w:pPr>
      <w:r>
        <w:rPr>
          <w:rFonts w:hint="eastAsia" w:ascii="楷体" w:hAnsi="楷体" w:eastAsia="楷体" w:cs="楷体"/>
          <w:b/>
          <w:bCs/>
          <w:sz w:val="32"/>
          <w:szCs w:val="32"/>
        </w:rPr>
        <w:t>2.5.1</w:t>
      </w:r>
      <w:r>
        <w:rPr>
          <w:rFonts w:ascii="楷体" w:hAnsi="楷体" w:eastAsia="楷体" w:cs="楷体"/>
          <w:b/>
          <w:bCs/>
          <w:sz w:val="32"/>
          <w:szCs w:val="32"/>
        </w:rPr>
        <w:t xml:space="preserve"> </w:t>
      </w:r>
      <w:r>
        <w:rPr>
          <w:rFonts w:hint="eastAsia" w:ascii="楷体" w:hAnsi="楷体" w:eastAsia="楷体" w:cs="楷体"/>
          <w:b/>
          <w:bCs/>
          <w:sz w:val="32"/>
          <w:szCs w:val="32"/>
        </w:rPr>
        <w:t>本次评价中存在局限性的说明</w:t>
      </w:r>
    </w:p>
    <w:p w14:paraId="03EDA680">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本绩效评价报告的评价分析与评价结论的可靠性，一方面取决于项目单位提供资料的合规性、真实性和完整性；同时也取决于评价工作人员对项目的了解程度、专业知识和评价能力以及样本抽查比例的限制。</w:t>
      </w:r>
    </w:p>
    <w:p w14:paraId="36D53404">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2.5.2</w:t>
      </w:r>
      <w:r>
        <w:rPr>
          <w:rFonts w:ascii="楷体" w:hAnsi="楷体" w:eastAsia="楷体" w:cs="楷体"/>
          <w:b/>
          <w:bCs/>
          <w:sz w:val="32"/>
          <w:szCs w:val="32"/>
        </w:rPr>
        <w:t xml:space="preserve"> </w:t>
      </w:r>
      <w:r>
        <w:rPr>
          <w:rFonts w:hint="eastAsia" w:ascii="楷体" w:hAnsi="楷体" w:eastAsia="楷体" w:cs="楷体"/>
          <w:b/>
          <w:bCs/>
          <w:sz w:val="32"/>
          <w:szCs w:val="32"/>
        </w:rPr>
        <w:t>提示报告使用者注意事项的说明</w:t>
      </w:r>
    </w:p>
    <w:p w14:paraId="12DFD74C">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本绩效评价报告的评价结论和评价意见，仅是针对天城镇人民政府2</w:t>
      </w:r>
      <w:r>
        <w:rPr>
          <w:rFonts w:ascii="仿宋" w:hAnsi="仿宋" w:eastAsia="仿宋" w:cs="宋体"/>
          <w:sz w:val="32"/>
          <w:szCs w:val="32"/>
        </w:rPr>
        <w:t>020</w:t>
      </w:r>
      <w:r>
        <w:rPr>
          <w:rFonts w:hint="eastAsia" w:ascii="仿宋" w:hAnsi="仿宋" w:eastAsia="仿宋" w:cs="宋体"/>
          <w:sz w:val="32"/>
          <w:szCs w:val="32"/>
        </w:rPr>
        <w:t>年部门整体支出实施绩效目标而进行的，不应视为是对专项资金实施单位工作的全面评价，也不应视为是对专项资金实施单位财务状况的客观性、公允性发表评审意见。因使用不当而发生的不利事项，与本次执行评价的第三方评价机构和执行评价的工作人员无关。</w:t>
      </w:r>
    </w:p>
    <w:p w14:paraId="38081501">
      <w:pPr>
        <w:tabs>
          <w:tab w:val="left" w:pos="10245"/>
        </w:tabs>
        <w:spacing w:line="560" w:lineRule="exact"/>
        <w:ind w:firstLine="640" w:firstLineChars="200"/>
        <w:rPr>
          <w:rFonts w:ascii="黑体" w:hAnsi="黑体" w:eastAsia="黑体"/>
          <w:sz w:val="32"/>
          <w:szCs w:val="32"/>
        </w:rPr>
      </w:pPr>
      <w:r>
        <w:rPr>
          <w:rFonts w:ascii="黑体" w:hAnsi="黑体" w:eastAsia="黑体"/>
          <w:sz w:val="32"/>
          <w:szCs w:val="32"/>
        </w:rPr>
        <w:t xml:space="preserve">2.6 </w:t>
      </w:r>
      <w:r>
        <w:rPr>
          <w:rFonts w:hint="eastAsia" w:ascii="黑体" w:hAnsi="黑体" w:eastAsia="黑体"/>
          <w:sz w:val="32"/>
          <w:szCs w:val="32"/>
        </w:rPr>
        <w:t>其他佐证材料</w:t>
      </w:r>
    </w:p>
    <w:p w14:paraId="1E90CBF7">
      <w:pPr>
        <w:tabs>
          <w:tab w:val="left" w:pos="10245"/>
        </w:tabs>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.6.1 天城</w:t>
      </w:r>
      <w:r>
        <w:rPr>
          <w:rFonts w:hint="eastAsia" w:ascii="仿宋" w:hAnsi="仿宋" w:eastAsia="仿宋" w:cs="楷体"/>
          <w:sz w:val="32"/>
          <w:szCs w:val="32"/>
        </w:rPr>
        <w:t>镇人民政府2020年部门整体支出绩效评价指标体系及评分表</w:t>
      </w:r>
    </w:p>
    <w:p w14:paraId="2D3FCE90">
      <w:pPr>
        <w:tabs>
          <w:tab w:val="left" w:pos="10245"/>
        </w:tabs>
        <w:spacing w:line="560" w:lineRule="exact"/>
        <w:ind w:firstLine="600"/>
        <w:rPr>
          <w:rFonts w:ascii="仿宋" w:hAnsi="仿宋" w:eastAsia="仿宋"/>
          <w:bCs/>
          <w:sz w:val="32"/>
          <w:szCs w:val="32"/>
        </w:rPr>
      </w:pPr>
      <w:r>
        <w:rPr>
          <w:rFonts w:hint="eastAsia" w:ascii="仿宋" w:hAnsi="仿宋" w:eastAsia="仿宋" w:cs="楷体"/>
          <w:sz w:val="32"/>
          <w:szCs w:val="32"/>
        </w:rPr>
        <w:t>2.6.2 2020年崇阳县财政预算支出重点绩效评价工作方案</w:t>
      </w:r>
    </w:p>
    <w:p w14:paraId="1CF92217">
      <w:pPr>
        <w:tabs>
          <w:tab w:val="left" w:pos="10245"/>
        </w:tabs>
        <w:spacing w:line="560" w:lineRule="exact"/>
        <w:ind w:firstLine="600"/>
        <w:rPr>
          <w:rFonts w:ascii="仿宋" w:hAnsi="仿宋" w:eastAsia="仿宋" w:cs="楷体"/>
          <w:sz w:val="32"/>
          <w:szCs w:val="32"/>
        </w:rPr>
      </w:pPr>
      <w:r>
        <w:rPr>
          <w:rFonts w:hint="eastAsia" w:ascii="仿宋" w:hAnsi="仿宋" w:eastAsia="仿宋" w:cs="楷体"/>
          <w:sz w:val="32"/>
          <w:szCs w:val="32"/>
        </w:rPr>
        <w:t>2.6.3 崇阳县天城镇人民政府支出绩效评价会议记录</w:t>
      </w:r>
    </w:p>
    <w:p w14:paraId="50CF8E71">
      <w:pPr>
        <w:tabs>
          <w:tab w:val="left" w:pos="10245"/>
        </w:tabs>
        <w:spacing w:line="560" w:lineRule="exact"/>
        <w:ind w:firstLine="600"/>
        <w:rPr>
          <w:rFonts w:ascii="仿宋" w:hAnsi="仿宋" w:eastAsia="仿宋"/>
          <w:bCs/>
          <w:sz w:val="32"/>
          <w:szCs w:val="32"/>
        </w:rPr>
      </w:pPr>
      <w:r>
        <w:rPr>
          <w:rFonts w:hint="eastAsia" w:ascii="仿宋" w:hAnsi="仿宋" w:eastAsia="仿宋" w:cs="楷体"/>
          <w:sz w:val="32"/>
          <w:szCs w:val="32"/>
        </w:rPr>
        <w:t>2.6.4 天城镇人民政府2020年工作总结</w:t>
      </w:r>
    </w:p>
    <w:p w14:paraId="2FD73E57">
      <w:pPr>
        <w:tabs>
          <w:tab w:val="left" w:pos="10245"/>
        </w:tabs>
        <w:spacing w:line="560" w:lineRule="exact"/>
        <w:ind w:firstLine="600"/>
        <w:rPr>
          <w:rFonts w:ascii="仿宋" w:hAnsi="仿宋" w:eastAsia="仿宋" w:cs="楷体"/>
          <w:sz w:val="32"/>
          <w:szCs w:val="32"/>
        </w:rPr>
      </w:pPr>
      <w:r>
        <w:rPr>
          <w:rFonts w:hint="eastAsia" w:ascii="仿宋" w:hAnsi="仿宋" w:eastAsia="仿宋" w:cs="楷体"/>
          <w:sz w:val="32"/>
          <w:szCs w:val="32"/>
        </w:rPr>
        <w:t>2.6.5 崇阳县天城镇人民政府2020年部门预算公开</w:t>
      </w:r>
    </w:p>
    <w:p w14:paraId="7A1A1A60">
      <w:pPr>
        <w:tabs>
          <w:tab w:val="left" w:pos="10245"/>
        </w:tabs>
        <w:spacing w:line="560" w:lineRule="exact"/>
        <w:ind w:firstLine="600"/>
        <w:rPr>
          <w:rFonts w:ascii="仿宋" w:hAnsi="仿宋" w:eastAsia="仿宋" w:cs="楷体"/>
          <w:sz w:val="32"/>
          <w:szCs w:val="32"/>
        </w:rPr>
      </w:pPr>
      <w:r>
        <w:rPr>
          <w:rFonts w:hint="eastAsia" w:ascii="仿宋" w:hAnsi="仿宋" w:eastAsia="仿宋" w:cs="楷体"/>
          <w:sz w:val="32"/>
          <w:szCs w:val="32"/>
        </w:rPr>
        <w:t>2.6.6 其他佐证材料</w:t>
      </w:r>
    </w:p>
    <w:p w14:paraId="712D2BBF">
      <w:pPr>
        <w:tabs>
          <w:tab w:val="left" w:pos="10245"/>
        </w:tabs>
        <w:spacing w:line="560" w:lineRule="exact"/>
        <w:ind w:firstLine="600"/>
        <w:rPr>
          <w:rFonts w:ascii="仿宋" w:hAnsi="仿宋" w:eastAsia="仿宋" w:cs="楷体"/>
          <w:sz w:val="32"/>
          <w:szCs w:val="32"/>
        </w:rPr>
      </w:pPr>
    </w:p>
    <w:p w14:paraId="3412017E">
      <w:pPr>
        <w:tabs>
          <w:tab w:val="left" w:pos="10245"/>
        </w:tabs>
        <w:spacing w:line="560" w:lineRule="exact"/>
        <w:ind w:firstLine="600"/>
        <w:rPr>
          <w:rFonts w:ascii="仿宋" w:hAnsi="仿宋" w:eastAsia="仿宋" w:cs="楷体"/>
          <w:sz w:val="32"/>
          <w:szCs w:val="32"/>
        </w:rPr>
      </w:pPr>
    </w:p>
    <w:p w14:paraId="1CCEF4A4">
      <w:pPr>
        <w:tabs>
          <w:tab w:val="left" w:pos="10245"/>
        </w:tabs>
        <w:spacing w:line="560" w:lineRule="exact"/>
        <w:ind w:firstLine="600"/>
        <w:rPr>
          <w:rFonts w:ascii="仿宋" w:hAnsi="仿宋" w:eastAsia="仿宋" w:cs="楷体"/>
          <w:sz w:val="32"/>
          <w:szCs w:val="32"/>
        </w:rPr>
      </w:pPr>
    </w:p>
    <w:p w14:paraId="0A0DC215">
      <w:pPr>
        <w:spacing w:line="560" w:lineRule="exact"/>
        <w:rPr>
          <w:rFonts w:ascii="仿宋" w:hAnsi="仿宋" w:eastAsia="仿宋" w:cs="楷体"/>
          <w:sz w:val="32"/>
          <w:szCs w:val="32"/>
        </w:rPr>
      </w:pPr>
      <w:r>
        <w:rPr>
          <w:rFonts w:hint="eastAsia" w:ascii="仿宋" w:hAnsi="仿宋" w:eastAsia="仿宋" w:cs="楷体"/>
          <w:sz w:val="30"/>
          <w:szCs w:val="30"/>
        </w:rPr>
        <w:t xml:space="preserve"> </w:t>
      </w:r>
      <w:r>
        <w:rPr>
          <w:rFonts w:ascii="仿宋" w:hAnsi="仿宋" w:eastAsia="仿宋" w:cs="楷体"/>
          <w:sz w:val="30"/>
          <w:szCs w:val="30"/>
        </w:rPr>
        <w:t xml:space="preserve">                           </w:t>
      </w:r>
      <w:r>
        <w:rPr>
          <w:rFonts w:hint="eastAsia" w:ascii="仿宋" w:hAnsi="仿宋" w:eastAsia="仿宋" w:cs="楷体"/>
          <w:sz w:val="32"/>
          <w:szCs w:val="32"/>
        </w:rPr>
        <w:t>湖北恒信会计师事务有限公司</w:t>
      </w:r>
    </w:p>
    <w:p w14:paraId="4C965D7F">
      <w:pPr>
        <w:tabs>
          <w:tab w:val="left" w:pos="5535"/>
        </w:tabs>
        <w:spacing w:line="560" w:lineRule="exact"/>
        <w:rPr>
          <w:rFonts w:ascii="仿宋" w:hAnsi="仿宋" w:eastAsia="仿宋" w:cs="楷体"/>
          <w:sz w:val="32"/>
          <w:szCs w:val="32"/>
        </w:rPr>
      </w:pPr>
      <w:r>
        <w:rPr>
          <w:rFonts w:ascii="仿宋" w:hAnsi="仿宋" w:eastAsia="仿宋" w:cs="楷体"/>
          <w:sz w:val="32"/>
          <w:szCs w:val="32"/>
        </w:rPr>
        <w:tab/>
      </w:r>
      <w:r>
        <w:rPr>
          <w:rFonts w:ascii="仿宋" w:hAnsi="仿宋" w:eastAsia="仿宋" w:cs="楷体"/>
          <w:sz w:val="32"/>
          <w:szCs w:val="32"/>
        </w:rPr>
        <w:t>2021</w:t>
      </w:r>
      <w:r>
        <w:rPr>
          <w:rFonts w:hint="eastAsia" w:ascii="仿宋" w:hAnsi="仿宋" w:eastAsia="仿宋" w:cs="楷体"/>
          <w:sz w:val="32"/>
          <w:szCs w:val="32"/>
        </w:rPr>
        <w:t>年9月8日</w:t>
      </w:r>
    </w:p>
    <w:p w14:paraId="3C052EF3"/>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6C3EE">
    <w:pPr>
      <w:pStyle w:val="5"/>
      <w:framePr w:wrap="around" w:vAnchor="text" w:hAnchor="margin" w:xAlign="center" w:y="1"/>
    </w:pPr>
    <w:r>
      <w:rPr>
        <w:rFonts w:hint="eastAsia"/>
      </w:rPr>
      <w:t xml:space="preserve">                                                                                          </w:t>
    </w: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521DB">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8</w:t>
    </w:r>
    <w:r>
      <w:fldChar w:fldCharType="end"/>
    </w:r>
  </w:p>
  <w:p w14:paraId="24820039">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373DB">
    <w:pPr>
      <w:pStyle w:val="5"/>
    </w:pPr>
    <w:r>
      <w:rPr>
        <w:rFonts w:hint="eastAsia"/>
      </w:rPr>
      <w:t xml:space="preserve">                                                                                             </w:t>
    </w:r>
    <w:r>
      <w:rPr>
        <w:rStyle w:val="12"/>
        <w:rFonts w:hint="eastAsia"/>
      </w:rPr>
      <w:t xml:space="preserve">  </w:t>
    </w:r>
    <w:r>
      <w:fldChar w:fldCharType="begin"/>
    </w:r>
    <w:r>
      <w:rPr>
        <w:rStyle w:val="12"/>
      </w:rPr>
      <w:instrText xml:space="preserve"> PAGE </w:instrText>
    </w:r>
    <w:r>
      <w:fldChar w:fldCharType="separate"/>
    </w:r>
    <w:r>
      <w:rPr>
        <w:rStyle w:val="12"/>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1A471">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FE809">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85CD1">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BC6AB">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FBC6AB">
                    <w:pPr>
                      <w:pStyle w:val="5"/>
                    </w:pPr>
                    <w:r>
                      <w:fldChar w:fldCharType="begin"/>
                    </w:r>
                    <w:r>
                      <w:instrText xml:space="preserve"> PAGE  \* MERGEFORMAT </w:instrText>
                    </w:r>
                    <w:r>
                      <w:fldChar w:fldCharType="separate"/>
                    </w:r>
                    <w:r>
                      <w:t>14</w:t>
                    </w:r>
                    <w:r>
                      <w:fldChar w:fldCharType="end"/>
                    </w:r>
                  </w:p>
                </w:txbxContent>
              </v:textbox>
            </v:shape>
          </w:pict>
        </mc:Fallback>
      </mc:AlternateContent>
    </w:r>
  </w:p>
  <w:p w14:paraId="6187600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1017B">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1C542">
    <w:pPr>
      <w:pStyle w:val="6"/>
      <w:pBdr>
        <w:bottom w:val="none" w:color="auto" w:sz="0" w:space="0"/>
      </w:pBdr>
      <w:spacing w:line="500" w:lineRule="exact"/>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OTlkODY1YjYxMzViOGJkZjA3MmRmZjAyOTg1MjkifQ=="/>
  </w:docVars>
  <w:rsids>
    <w:rsidRoot w:val="00B75061"/>
    <w:rsid w:val="00011041"/>
    <w:rsid w:val="00035110"/>
    <w:rsid w:val="000915D7"/>
    <w:rsid w:val="000C22AB"/>
    <w:rsid w:val="000C622F"/>
    <w:rsid w:val="000D2948"/>
    <w:rsid w:val="000D4B19"/>
    <w:rsid w:val="000F68C3"/>
    <w:rsid w:val="00111316"/>
    <w:rsid w:val="0012717C"/>
    <w:rsid w:val="00135727"/>
    <w:rsid w:val="001421D7"/>
    <w:rsid w:val="001445E2"/>
    <w:rsid w:val="00144EE4"/>
    <w:rsid w:val="00153539"/>
    <w:rsid w:val="00171F85"/>
    <w:rsid w:val="00176106"/>
    <w:rsid w:val="001A737B"/>
    <w:rsid w:val="001B5785"/>
    <w:rsid w:val="001C15DA"/>
    <w:rsid w:val="001E149A"/>
    <w:rsid w:val="001E6652"/>
    <w:rsid w:val="001E6C48"/>
    <w:rsid w:val="001F0E39"/>
    <w:rsid w:val="0020700E"/>
    <w:rsid w:val="002237BD"/>
    <w:rsid w:val="00231AA9"/>
    <w:rsid w:val="00242796"/>
    <w:rsid w:val="0025066A"/>
    <w:rsid w:val="0025201C"/>
    <w:rsid w:val="00256BE0"/>
    <w:rsid w:val="00260591"/>
    <w:rsid w:val="00263BEA"/>
    <w:rsid w:val="0027333E"/>
    <w:rsid w:val="00273E0F"/>
    <w:rsid w:val="00276DE7"/>
    <w:rsid w:val="002914E1"/>
    <w:rsid w:val="0029428B"/>
    <w:rsid w:val="002B72BE"/>
    <w:rsid w:val="002B7427"/>
    <w:rsid w:val="002C7EEC"/>
    <w:rsid w:val="00311B30"/>
    <w:rsid w:val="00333D0C"/>
    <w:rsid w:val="00350FF0"/>
    <w:rsid w:val="0035412E"/>
    <w:rsid w:val="00362561"/>
    <w:rsid w:val="00376736"/>
    <w:rsid w:val="0038194E"/>
    <w:rsid w:val="00390AA7"/>
    <w:rsid w:val="00396AD1"/>
    <w:rsid w:val="003E49CD"/>
    <w:rsid w:val="00400C62"/>
    <w:rsid w:val="00404300"/>
    <w:rsid w:val="0040779E"/>
    <w:rsid w:val="004078B7"/>
    <w:rsid w:val="0043190B"/>
    <w:rsid w:val="0044126B"/>
    <w:rsid w:val="00445ED3"/>
    <w:rsid w:val="00453524"/>
    <w:rsid w:val="00491A0F"/>
    <w:rsid w:val="004A29CD"/>
    <w:rsid w:val="004A3FDE"/>
    <w:rsid w:val="004B1654"/>
    <w:rsid w:val="004B360C"/>
    <w:rsid w:val="004B3D75"/>
    <w:rsid w:val="004B4E44"/>
    <w:rsid w:val="004D2CEF"/>
    <w:rsid w:val="004D682D"/>
    <w:rsid w:val="004E0A1A"/>
    <w:rsid w:val="004F3BBD"/>
    <w:rsid w:val="004F4A56"/>
    <w:rsid w:val="004F6FA0"/>
    <w:rsid w:val="00501FB9"/>
    <w:rsid w:val="0052317B"/>
    <w:rsid w:val="00551C6E"/>
    <w:rsid w:val="00556F68"/>
    <w:rsid w:val="005811A3"/>
    <w:rsid w:val="005824C6"/>
    <w:rsid w:val="00591636"/>
    <w:rsid w:val="005968A1"/>
    <w:rsid w:val="005F09EB"/>
    <w:rsid w:val="00607EBF"/>
    <w:rsid w:val="006101FC"/>
    <w:rsid w:val="0063321F"/>
    <w:rsid w:val="00650FE9"/>
    <w:rsid w:val="006728A4"/>
    <w:rsid w:val="00682DCA"/>
    <w:rsid w:val="00686043"/>
    <w:rsid w:val="006C391C"/>
    <w:rsid w:val="006C545C"/>
    <w:rsid w:val="006C563E"/>
    <w:rsid w:val="006C7184"/>
    <w:rsid w:val="00707565"/>
    <w:rsid w:val="00712FAF"/>
    <w:rsid w:val="00713C4F"/>
    <w:rsid w:val="007155F9"/>
    <w:rsid w:val="0072160F"/>
    <w:rsid w:val="00743975"/>
    <w:rsid w:val="007517C4"/>
    <w:rsid w:val="007530B2"/>
    <w:rsid w:val="00755806"/>
    <w:rsid w:val="007745C6"/>
    <w:rsid w:val="007948D6"/>
    <w:rsid w:val="007B3983"/>
    <w:rsid w:val="007D1121"/>
    <w:rsid w:val="007D3CE7"/>
    <w:rsid w:val="007E4AA2"/>
    <w:rsid w:val="007E7C87"/>
    <w:rsid w:val="007F7FC4"/>
    <w:rsid w:val="00817912"/>
    <w:rsid w:val="00822AC8"/>
    <w:rsid w:val="0084647C"/>
    <w:rsid w:val="00847704"/>
    <w:rsid w:val="00847DDE"/>
    <w:rsid w:val="008578EC"/>
    <w:rsid w:val="0087757B"/>
    <w:rsid w:val="0088423A"/>
    <w:rsid w:val="00886AC5"/>
    <w:rsid w:val="0089099B"/>
    <w:rsid w:val="00895C17"/>
    <w:rsid w:val="00896A45"/>
    <w:rsid w:val="008A057D"/>
    <w:rsid w:val="008C4C58"/>
    <w:rsid w:val="008C55A6"/>
    <w:rsid w:val="00901D96"/>
    <w:rsid w:val="00913C50"/>
    <w:rsid w:val="009313DA"/>
    <w:rsid w:val="00933180"/>
    <w:rsid w:val="009350E3"/>
    <w:rsid w:val="00944539"/>
    <w:rsid w:val="00952F67"/>
    <w:rsid w:val="00953088"/>
    <w:rsid w:val="00967B47"/>
    <w:rsid w:val="009A3303"/>
    <w:rsid w:val="009B3B53"/>
    <w:rsid w:val="009B7087"/>
    <w:rsid w:val="009D736C"/>
    <w:rsid w:val="009E279D"/>
    <w:rsid w:val="009F6771"/>
    <w:rsid w:val="00A01A33"/>
    <w:rsid w:val="00A05AFC"/>
    <w:rsid w:val="00A21106"/>
    <w:rsid w:val="00A30062"/>
    <w:rsid w:val="00A5226A"/>
    <w:rsid w:val="00A63914"/>
    <w:rsid w:val="00A6447C"/>
    <w:rsid w:val="00A7100B"/>
    <w:rsid w:val="00A716BC"/>
    <w:rsid w:val="00A747BB"/>
    <w:rsid w:val="00A81431"/>
    <w:rsid w:val="00A875CE"/>
    <w:rsid w:val="00AB0094"/>
    <w:rsid w:val="00AC5195"/>
    <w:rsid w:val="00AC7C74"/>
    <w:rsid w:val="00AF51E0"/>
    <w:rsid w:val="00AF6ECE"/>
    <w:rsid w:val="00B218DE"/>
    <w:rsid w:val="00B26EF6"/>
    <w:rsid w:val="00B400C6"/>
    <w:rsid w:val="00B41B31"/>
    <w:rsid w:val="00B75061"/>
    <w:rsid w:val="00B93361"/>
    <w:rsid w:val="00BD7EE9"/>
    <w:rsid w:val="00BE2502"/>
    <w:rsid w:val="00BF1B1D"/>
    <w:rsid w:val="00C15732"/>
    <w:rsid w:val="00C30F3A"/>
    <w:rsid w:val="00C31622"/>
    <w:rsid w:val="00C56C37"/>
    <w:rsid w:val="00C60430"/>
    <w:rsid w:val="00C67BB6"/>
    <w:rsid w:val="00C87662"/>
    <w:rsid w:val="00C9354F"/>
    <w:rsid w:val="00CB0B44"/>
    <w:rsid w:val="00CB30F1"/>
    <w:rsid w:val="00CB55C5"/>
    <w:rsid w:val="00CD1612"/>
    <w:rsid w:val="00CD4B9A"/>
    <w:rsid w:val="00CF05FA"/>
    <w:rsid w:val="00D01067"/>
    <w:rsid w:val="00D30C78"/>
    <w:rsid w:val="00D60BD9"/>
    <w:rsid w:val="00D67A55"/>
    <w:rsid w:val="00D76AB6"/>
    <w:rsid w:val="00D76C4F"/>
    <w:rsid w:val="00D773A5"/>
    <w:rsid w:val="00D83B85"/>
    <w:rsid w:val="00D85898"/>
    <w:rsid w:val="00D97757"/>
    <w:rsid w:val="00DA7023"/>
    <w:rsid w:val="00DB1590"/>
    <w:rsid w:val="00DB7012"/>
    <w:rsid w:val="00DD5D8C"/>
    <w:rsid w:val="00DF443E"/>
    <w:rsid w:val="00E233DD"/>
    <w:rsid w:val="00E372D6"/>
    <w:rsid w:val="00E5491D"/>
    <w:rsid w:val="00E624CE"/>
    <w:rsid w:val="00EA05C9"/>
    <w:rsid w:val="00ED578D"/>
    <w:rsid w:val="00EE1B27"/>
    <w:rsid w:val="00EF04AF"/>
    <w:rsid w:val="00F000E8"/>
    <w:rsid w:val="00F041A0"/>
    <w:rsid w:val="00F35B26"/>
    <w:rsid w:val="00F375DA"/>
    <w:rsid w:val="00F4279B"/>
    <w:rsid w:val="00F515FA"/>
    <w:rsid w:val="00F5463D"/>
    <w:rsid w:val="00F572F8"/>
    <w:rsid w:val="00F60C13"/>
    <w:rsid w:val="00F71248"/>
    <w:rsid w:val="00F74F3C"/>
    <w:rsid w:val="00F80F54"/>
    <w:rsid w:val="00F864B2"/>
    <w:rsid w:val="00F90C3B"/>
    <w:rsid w:val="00FD0BA5"/>
    <w:rsid w:val="00FF2B37"/>
    <w:rsid w:val="063A1C44"/>
    <w:rsid w:val="112050F5"/>
    <w:rsid w:val="1E180EAF"/>
    <w:rsid w:val="24CE5983"/>
    <w:rsid w:val="28794DF6"/>
    <w:rsid w:val="306E24DE"/>
    <w:rsid w:val="324C2F7C"/>
    <w:rsid w:val="3993153C"/>
    <w:rsid w:val="4A754BE2"/>
    <w:rsid w:val="59D84CBF"/>
    <w:rsid w:val="630D6A45"/>
    <w:rsid w:val="717F31E0"/>
    <w:rsid w:val="7E795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39"/>
    <w:pPr>
      <w:ind w:left="840" w:leftChars="400"/>
    </w:pPr>
  </w:style>
  <w:style w:type="paragraph" w:styleId="4">
    <w:name w:val="Balloon Text"/>
    <w:basedOn w:val="1"/>
    <w:link w:val="20"/>
    <w:qFormat/>
    <w:uiPriority w:val="0"/>
    <w:rPr>
      <w:sz w:val="18"/>
      <w:szCs w:val="18"/>
    </w:rPr>
  </w:style>
  <w:style w:type="paragraph" w:styleId="5">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unhideWhenUsed/>
    <w:qFormat/>
    <w:uiPriority w:val="99"/>
    <w:pPr>
      <w:widowControl/>
      <w:jc w:val="left"/>
    </w:pPr>
    <w:rPr>
      <w:rFonts w:ascii="Helvetica" w:hAnsi="Helvetica" w:cs="Helvetica"/>
      <w:kern w:val="0"/>
      <w:szCs w:val="21"/>
    </w:rPr>
  </w:style>
  <w:style w:type="character" w:styleId="12">
    <w:name w:val="page number"/>
    <w:basedOn w:val="11"/>
    <w:qFormat/>
    <w:uiPriority w:val="0"/>
  </w:style>
  <w:style w:type="character" w:styleId="13">
    <w:name w:val="Hyperlink"/>
    <w:basedOn w:val="11"/>
    <w:qFormat/>
    <w:uiPriority w:val="99"/>
    <w:rPr>
      <w:color w:val="0000FF"/>
      <w:u w:val="single"/>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
    <w:name w:val="列出段落1"/>
    <w:basedOn w:val="1"/>
    <w:qFormat/>
    <w:uiPriority w:val="99"/>
    <w:pPr>
      <w:ind w:firstLine="420" w:firstLineChars="200"/>
    </w:pPr>
    <w:rPr>
      <w:rFonts w:ascii="Calibri" w:hAnsi="Calibri"/>
    </w:rPr>
  </w:style>
  <w:style w:type="character" w:customStyle="1" w:styleId="18">
    <w:name w:val="font51"/>
    <w:basedOn w:val="11"/>
    <w:qFormat/>
    <w:uiPriority w:val="0"/>
    <w:rPr>
      <w:rFonts w:hint="eastAsia" w:ascii="宋体" w:hAnsi="宋体" w:eastAsia="宋体" w:cs="宋体"/>
      <w:b/>
      <w:bCs/>
      <w:color w:val="000000"/>
      <w:sz w:val="20"/>
      <w:szCs w:val="20"/>
      <w:u w:val="none"/>
    </w:rPr>
  </w:style>
  <w:style w:type="character" w:customStyle="1" w:styleId="19">
    <w:name w:val="font81"/>
    <w:basedOn w:val="11"/>
    <w:qFormat/>
    <w:uiPriority w:val="0"/>
    <w:rPr>
      <w:rFonts w:hint="eastAsia" w:ascii="仿宋_GB2312" w:eastAsia="仿宋_GB2312" w:cs="仿宋_GB2312"/>
      <w:b/>
      <w:bCs/>
      <w:color w:val="000000"/>
      <w:sz w:val="20"/>
      <w:szCs w:val="20"/>
      <w:u w:val="none"/>
    </w:rPr>
  </w:style>
  <w:style w:type="character" w:customStyle="1" w:styleId="20">
    <w:name w:val="批注框文本 Char"/>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3449</Words>
  <Characters>3758</Characters>
  <Lines>76</Lines>
  <Paragraphs>21</Paragraphs>
  <TotalTime>2897</TotalTime>
  <ScaleCrop>false</ScaleCrop>
  <LinksUpToDate>false</LinksUpToDate>
  <CharactersWithSpaces>3934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2021-06-21T06:32:00Z</dcterms:created>
  <dc:creator>Administrator</dc:creator>
  <cp:lastModifiedBy>创艺-奇</cp:lastModifiedBy>
  <dcterms:modified xsi:type="dcterms:W3CDTF">2025-02-27T02:57:43Z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7BA9A6B5F5554A64895090BF992FABB1</vt:lpwstr>
  </property>
  <property fmtid="{D5CDD505-2E9C-101B-9397-08002B2CF9AE}" pid="4" name="KSOTemplateDocerSaveRecord">
    <vt:lpwstr>eyJoZGlkIjoiYTQ4OTlkODY1YjYxMzViOGJkZjA3MmRmZjAyOTg1MjkiLCJ1c2VySWQiOiI5NjIyNzcwMDcifQ==</vt:lpwstr>
  </property>
</Properties>
</file>