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kern w:val="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53975</wp:posOffset>
                </wp:positionV>
                <wp:extent cx="4657725" cy="2156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57725" cy="2156460"/>
                        </a:xfrm>
                        <a:prstGeom prst="rect">
                          <a:avLst/>
                        </a:prstGeom>
                        <a:noFill/>
                        <a:ln>
                          <a:noFill/>
                        </a:ln>
                        <a:effectLst/>
                      </wps:spPr>
                      <wps:txbx>
                        <w:txbxContent>
                          <w:p>
                            <w:pPr>
                              <w:overflowPunct w:val="0"/>
                              <w:spacing w:line="1600" w:lineRule="exact"/>
                              <w:ind w:left="0" w:leftChars="0" w:firstLine="0" w:firstLineChars="0"/>
                              <w:jc w:val="distribute"/>
                              <w:rPr>
                                <w:rFonts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崇阳县农业农村局</w:t>
                            </w:r>
                          </w:p>
                          <w:p>
                            <w:pPr>
                              <w:overflowPunct w:val="0"/>
                              <w:spacing w:line="1600" w:lineRule="exact"/>
                              <w:ind w:left="0" w:leftChars="0" w:firstLine="0" w:firstLineChars="0"/>
                              <w:jc w:val="distribute"/>
                              <w:rPr>
                                <w:rFonts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崇阳县财政局</w:t>
                            </w:r>
                          </w:p>
                          <w:p>
                            <w:pPr>
                              <w:spacing w:line="1600" w:lineRule="exact"/>
                              <w:rPr>
                                <w:color w:val="FF0000"/>
                                <w:w w:val="55"/>
                              </w:rPr>
                            </w:pPr>
                          </w:p>
                        </w:txbxContent>
                      </wps:txbx>
                      <wps:bodyPr upright="1"/>
                    </wps:wsp>
                  </a:graphicData>
                </a:graphic>
              </wp:anchor>
            </w:drawing>
          </mc:Choice>
          <mc:Fallback>
            <w:pict>
              <v:shape id="_x0000_s1026" o:spid="_x0000_s1026" o:spt="202" type="#_x0000_t202" style="position:absolute;left:0pt;margin-left:-1.95pt;margin-top:4.25pt;height:169.8pt;width:366.75pt;z-index:251659264;mso-width-relative:page;mso-height-relative:page;" filled="f" stroked="f" coordsize="21600,21600" o:gfxdata="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56Q&#10;xdYAAAAIAQAADwAAAAAAAAABACAAAAAiAAAAZHJzL2Rvd25yZXYueG1sUEsBAhQAFAAAAAgAh07i&#10;QBzMrcayAQAAXQMAAA4AAAAAAAAAAQAgAAAAJQEAAGRycy9lMm9Eb2MueG1sUEsFBgAAAAAGAAYA&#10;WQEAAEkFAAAAAA==&#10;">
                <v:fill on="f" focussize="0,0"/>
                <v:stroke on="f"/>
                <v:imagedata o:title=""/>
                <o:lock v:ext="edit" aspectratio="f"/>
                <v:textbox>
                  <w:txbxContent>
                    <w:p>
                      <w:pPr>
                        <w:overflowPunct w:val="0"/>
                        <w:spacing w:line="1600" w:lineRule="exact"/>
                        <w:ind w:left="0" w:leftChars="0" w:firstLine="0" w:firstLineChars="0"/>
                        <w:jc w:val="distribute"/>
                        <w:rPr>
                          <w:rFonts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崇阳县农业农村局</w:t>
                      </w:r>
                    </w:p>
                    <w:p>
                      <w:pPr>
                        <w:overflowPunct w:val="0"/>
                        <w:spacing w:line="1600" w:lineRule="exact"/>
                        <w:ind w:left="0" w:leftChars="0" w:firstLine="0" w:firstLineChars="0"/>
                        <w:jc w:val="distribute"/>
                        <w:rPr>
                          <w:rFonts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崇阳县财政局</w:t>
                      </w:r>
                    </w:p>
                    <w:p>
                      <w:pPr>
                        <w:spacing w:line="1600" w:lineRule="exact"/>
                        <w:rPr>
                          <w:color w:val="FF0000"/>
                          <w:w w:val="55"/>
                        </w:rPr>
                      </w:pPr>
                    </w:p>
                  </w:txbxContent>
                </v:textbox>
              </v:shape>
            </w:pict>
          </mc:Fallback>
        </mc:AlternateContent>
      </w:r>
    </w:p>
    <w:p>
      <w:pPr>
        <w:overflowPunct w:val="0"/>
        <w:spacing w:line="600" w:lineRule="exact"/>
        <w:jc w:val="center"/>
        <w:rPr>
          <w:rFonts w:ascii="Times New Roman" w:hAnsi="Times New Roman" w:eastAsia="方正小标宋简体"/>
          <w:kern w:val="0"/>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4499610</wp:posOffset>
                </wp:positionH>
                <wp:positionV relativeFrom="paragraph">
                  <wp:posOffset>130810</wp:posOffset>
                </wp:positionV>
                <wp:extent cx="1247775" cy="1100455"/>
                <wp:effectExtent l="0" t="0" r="9525" b="4445"/>
                <wp:wrapNone/>
                <wp:docPr id="2" name="文本框 2"/>
                <wp:cNvGraphicFramePr/>
                <a:graphic xmlns:a="http://schemas.openxmlformats.org/drawingml/2006/main">
                  <a:graphicData uri="http://schemas.microsoft.com/office/word/2010/wordprocessingShape">
                    <wps:wsp>
                      <wps:cNvSpPr txBox="1"/>
                      <wps:spPr>
                        <a:xfrm>
                          <a:off x="0" y="0"/>
                          <a:ext cx="1247775" cy="1100455"/>
                        </a:xfrm>
                        <a:prstGeom prst="rect">
                          <a:avLst/>
                        </a:prstGeom>
                        <a:solidFill>
                          <a:srgbClr val="FFFFFF"/>
                        </a:solidFill>
                        <a:ln>
                          <a:noFill/>
                        </a:ln>
                        <a:effectLst/>
                      </wps:spPr>
                      <wps:txbx>
                        <w:txbxContent>
                          <w:p>
                            <w:pPr>
                              <w:spacing w:line="1600" w:lineRule="exact"/>
                              <w:ind w:left="0" w:leftChars="0" w:firstLine="0" w:firstLineChars="0"/>
                              <w:rPr>
                                <w:color w:val="FF0000"/>
                                <w:w w:val="55"/>
                              </w:rPr>
                            </w:pPr>
                            <w:r>
                              <w:rPr>
                                <w:rFonts w:hint="eastAsia" w:ascii="方正小标宋简体" w:hAnsi="方正小标宋简体" w:eastAsia="方正小标宋简体" w:cs="方正小标宋简体"/>
                                <w:color w:val="FF0000"/>
                                <w:w w:val="55"/>
                                <w:kern w:val="0"/>
                                <w:sz w:val="144"/>
                                <w:szCs w:val="144"/>
                              </w:rPr>
                              <w:t>文件</w:t>
                            </w:r>
                          </w:p>
                        </w:txbxContent>
                      </wps:txbx>
                      <wps:bodyPr upright="1"/>
                    </wps:wsp>
                  </a:graphicData>
                </a:graphic>
              </wp:anchor>
            </w:drawing>
          </mc:Choice>
          <mc:Fallback>
            <w:pict>
              <v:shape id="_x0000_s1026" o:spid="_x0000_s1026" o:spt="202" type="#_x0000_t202" style="position:absolute;left:0pt;margin-left:354.3pt;margin-top:10.3pt;height:86.65pt;width:98.25pt;z-index:251660288;mso-width-relative:page;mso-height-relative:page;" fillcolor="#FFFFFF" filled="t" stroked="f" coordsize="21600,21600" o:gfxdata="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948e/YAAAACgEAAA8AAAAAAAAAAQAgAAAAIgAAAGRycy9kb3du&#10;cmV2LnhtbFBLAQIUABQAAAAIAIdO4kCqFSltxgEAAIYDAAAOAAAAAAAAAAEAIAAAACcBAABkcnMv&#10;ZTJvRG9jLnhtbFBLBQYAAAAABgAGAFkBAABfBQAAAAA=&#10;">
                <v:fill on="t" focussize="0,0"/>
                <v:stroke on="f"/>
                <v:imagedata o:title=""/>
                <o:lock v:ext="edit" aspectratio="f"/>
                <v:textbox>
                  <w:txbxContent>
                    <w:p>
                      <w:pPr>
                        <w:spacing w:line="1600" w:lineRule="exact"/>
                        <w:ind w:left="0" w:leftChars="0" w:firstLine="0" w:firstLineChars="0"/>
                        <w:rPr>
                          <w:color w:val="FF0000"/>
                          <w:w w:val="55"/>
                        </w:rPr>
                      </w:pPr>
                      <w:r>
                        <w:rPr>
                          <w:rFonts w:hint="eastAsia" w:ascii="方正小标宋简体" w:hAnsi="方正小标宋简体" w:eastAsia="方正小标宋简体" w:cs="方正小标宋简体"/>
                          <w:color w:val="FF0000"/>
                          <w:w w:val="55"/>
                          <w:kern w:val="0"/>
                          <w:sz w:val="144"/>
                          <w:szCs w:val="144"/>
                        </w:rPr>
                        <w:t>文件</w:t>
                      </w:r>
                    </w:p>
                  </w:txbxContent>
                </v:textbox>
              </v:shape>
            </w:pict>
          </mc:Fallback>
        </mc:AlternateContent>
      </w: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r>
        <w:rPr>
          <w:rFonts w:hint="eastAsia" w:ascii="仿宋_GB2312" w:hAnsi="仿宋_GB2312" w:eastAsia="仿宋_GB2312" w:cs="仿宋_GB2312"/>
          <w:kern w:val="0"/>
          <w:sz w:val="32"/>
          <w:szCs w:val="32"/>
        </w:rPr>
        <w:t>崇农文〔202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7</w:t>
      </w:r>
      <w:r>
        <w:rPr>
          <w:rFonts w:hint="eastAsia" w:ascii="仿宋_GB2312" w:hAnsi="仿宋_GB2312" w:eastAsia="仿宋_GB2312" w:cs="仿宋_GB2312"/>
          <w:kern w:val="0"/>
          <w:sz w:val="32"/>
          <w:szCs w:val="32"/>
        </w:rPr>
        <w:t>号</w:t>
      </w:r>
    </w:p>
    <w:p>
      <w:pPr>
        <w:overflowPunct w:val="0"/>
        <w:spacing w:line="600" w:lineRule="exact"/>
        <w:jc w:val="center"/>
        <w:rPr>
          <w:rFonts w:ascii="Times New Roman" w:hAnsi="Times New Roman" w:eastAsia="方正小标宋简体"/>
          <w:kern w:val="0"/>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161290</wp:posOffset>
                </wp:positionV>
                <wp:extent cx="5801360" cy="635"/>
                <wp:effectExtent l="0" t="13970" r="8890" b="23495"/>
                <wp:wrapNone/>
                <wp:docPr id="3" name="直接连接符 3"/>
                <wp:cNvGraphicFramePr/>
                <a:graphic xmlns:a="http://schemas.openxmlformats.org/drawingml/2006/main">
                  <a:graphicData uri="http://schemas.microsoft.com/office/word/2010/wordprocessingShape">
                    <wps:wsp>
                      <wps:cNvCnPr/>
                      <wps:spPr>
                        <a:xfrm>
                          <a:off x="0" y="0"/>
                          <a:ext cx="580136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12.7pt;height:0.05pt;width:456.8pt;z-index:251661312;mso-width-relative:page;mso-height-relative:page;" filled="f" stroked="t" coordsize="21600,21600" o:gfxdata="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37qHXAAAACAEAAA8AAAAAAAAAAQAgAAAAIgAAAGRycy9kb3ducmV2&#10;LnhtbFBLAQIUABQAAAAIAIdO4kAuKQIO/QEAAPUDAAAOAAAAAAAAAAEAIAAAACYBAABkcnMvZTJv&#10;RG9jLnhtbFBLBQYAAAAABgAGAFkBAACVBQAAAAA=&#10;">
                <v:fill on="f" focussize="0,0"/>
                <v:stroke weight="2.25pt" color="#FF0000" joinstyle="round"/>
                <v:imagedata o:title=""/>
                <o:lock v:ext="edit" aspectratio="f"/>
              </v:line>
            </w:pict>
          </mc:Fallback>
        </mc:AlternateConten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崇阳县</w:t>
      </w:r>
      <w:r>
        <w:rPr>
          <w:rFonts w:hint="eastAsia" w:ascii="方正小标宋简体" w:hAnsi="方正小标宋简体" w:eastAsia="方正小标宋简体" w:cs="方正小标宋简体"/>
          <w:sz w:val="44"/>
          <w:szCs w:val="44"/>
        </w:rPr>
        <w:t>水稻集中育秧设施建设项目</w:t>
      </w:r>
    </w:p>
    <w:p>
      <w:pPr>
        <w:ind w:left="0" w:leftChars="0" w:firstLine="0" w:firstLineChars="0"/>
        <w:jc w:val="center"/>
        <w:rPr>
          <w:rFonts w:hint="eastAsia"/>
        </w:rPr>
      </w:pPr>
      <w:r>
        <w:rPr>
          <w:rFonts w:hint="eastAsia" w:ascii="方正小标宋简体" w:hAnsi="方正小标宋简体" w:eastAsia="方正小标宋简体" w:cs="方正小标宋简体"/>
          <w:sz w:val="44"/>
          <w:szCs w:val="44"/>
        </w:rPr>
        <w:t>实施方案</w:t>
      </w:r>
    </w:p>
    <w:p>
      <w:pPr>
        <w:rPr>
          <w:rFonts w:hint="eastAsia"/>
          <w:lang w:eastAsia="zh-CN"/>
        </w:rPr>
      </w:pPr>
    </w:p>
    <w:p>
      <w:pPr>
        <w:rPr>
          <w:rFonts w:hint="eastAsia"/>
        </w:rPr>
      </w:pPr>
      <w:r>
        <w:rPr>
          <w:rFonts w:hint="eastAsia"/>
          <w:lang w:eastAsia="zh-CN"/>
        </w:rPr>
        <w:t>根据省农业农村厅办公室</w:t>
      </w:r>
      <w:r>
        <w:rPr>
          <w:rFonts w:hint="eastAsia"/>
          <w:lang w:val="en-US" w:eastAsia="zh-CN"/>
        </w:rPr>
        <w:t xml:space="preserve"> </w:t>
      </w:r>
      <w:r>
        <w:rPr>
          <w:rFonts w:hint="eastAsia"/>
          <w:lang w:eastAsia="zh-CN"/>
        </w:rPr>
        <w:t>省财政厅办公室《关于印发湖北省水稻集中育秧设施建设项目实施方案的通知》（鄂农办发〔</w:t>
      </w:r>
      <w:r>
        <w:rPr>
          <w:rFonts w:hint="eastAsia"/>
          <w:lang w:val="en-US" w:eastAsia="zh-CN"/>
        </w:rPr>
        <w:t>2023</w:t>
      </w:r>
      <w:r>
        <w:rPr>
          <w:rFonts w:hint="eastAsia"/>
          <w:lang w:eastAsia="zh-CN"/>
        </w:rPr>
        <w:t>〕</w:t>
      </w:r>
      <w:r>
        <w:rPr>
          <w:rFonts w:hint="eastAsia"/>
          <w:lang w:val="en-US" w:eastAsia="zh-CN"/>
        </w:rPr>
        <w:t>7号</w:t>
      </w:r>
      <w:r>
        <w:rPr>
          <w:rFonts w:hint="eastAsia"/>
          <w:lang w:eastAsia="zh-CN"/>
        </w:rPr>
        <w:t>）要求，为加快推进我县水稻集中育秧设施建设，补齐水稻种植环节机械化短板，提高水稻机插秧水平，特制定</w:t>
      </w:r>
      <w:r>
        <w:rPr>
          <w:rFonts w:hint="eastAsia"/>
        </w:rPr>
        <w:t>本方案。</w:t>
      </w:r>
    </w:p>
    <w:p>
      <w:pPr>
        <w:pStyle w:val="2"/>
        <w:bidi w:val="0"/>
        <w:rPr>
          <w:rFonts w:hint="eastAsia"/>
        </w:rPr>
      </w:pPr>
      <w:r>
        <w:rPr>
          <w:rFonts w:hint="eastAsia"/>
        </w:rPr>
        <w:t>一、总体要求</w:t>
      </w:r>
    </w:p>
    <w:p>
      <w:pPr>
        <w:rPr>
          <w:rFonts w:hint="eastAsia"/>
        </w:rPr>
      </w:pPr>
      <w:r>
        <w:rPr>
          <w:rFonts w:hint="eastAsia"/>
        </w:rPr>
        <w:t>以习近平新时代中国特色社会主义思想为指导，认真贯彻落实党的二十大精神，按照“确保谷物基本自给、口粮绝对安全”战略要求，强化“藏粮于地、藏粮于技”，全力以赴确保粮食稳产保供。以稳定双季稻优势区早稻生产、加快绿色优质稻米产业发展为目标，以专业化育供秧为引领，通过专业化服务组织、育插秧专业户、种粮大户、合作社、家庭农场等新型主体和育秧能手，开展早稻集中育秧，着力解决水稻生产中存在的育秧缺技术、缺劳力、成本高及直播蔓延等突出短板问题，促进水稻生产专业化、规模化、机械化发展</w:t>
      </w:r>
      <w:r>
        <w:rPr>
          <w:rFonts w:hint="eastAsia"/>
          <w:lang w:eastAsia="zh-CN"/>
        </w:rPr>
        <w:t>，</w:t>
      </w:r>
      <w:r>
        <w:rPr>
          <w:rFonts w:hint="eastAsia"/>
        </w:rPr>
        <w:t>确保全面完成202</w:t>
      </w:r>
      <w:r>
        <w:rPr>
          <w:rFonts w:hint="eastAsia"/>
          <w:lang w:val="en-US" w:eastAsia="zh-CN"/>
        </w:rPr>
        <w:t>3</w:t>
      </w:r>
      <w:r>
        <w:rPr>
          <w:rFonts w:hint="eastAsia"/>
        </w:rPr>
        <w:t>年粮食生产目标任务。</w:t>
      </w:r>
    </w:p>
    <w:p>
      <w:pPr>
        <w:pStyle w:val="2"/>
        <w:bidi w:val="0"/>
        <w:rPr>
          <w:rFonts w:hint="eastAsia"/>
        </w:rPr>
      </w:pPr>
      <w:r>
        <w:rPr>
          <w:rFonts w:hint="eastAsia"/>
        </w:rPr>
        <w:t>二、工作目标</w:t>
      </w:r>
    </w:p>
    <w:p>
      <w:pPr>
        <w:rPr>
          <w:rFonts w:hint="eastAsia"/>
        </w:rPr>
      </w:pPr>
      <w:r>
        <w:rPr>
          <w:rStyle w:val="7"/>
          <w:rFonts w:hint="eastAsia"/>
          <w:lang w:eastAsia="zh-CN"/>
        </w:rPr>
        <w:t>（一）</w:t>
      </w:r>
      <w:r>
        <w:rPr>
          <w:rStyle w:val="7"/>
          <w:rFonts w:hint="eastAsia"/>
        </w:rPr>
        <w:t>培育壮大育秧主体。</w:t>
      </w:r>
      <w:r>
        <w:rPr>
          <w:rFonts w:hint="eastAsia"/>
        </w:rPr>
        <w:t>按照“自愿申报、择优选定”的原则，在全县重点扶持培育</w:t>
      </w:r>
      <w:r>
        <w:rPr>
          <w:rFonts w:hint="eastAsia"/>
          <w:lang w:val="en-US" w:eastAsia="zh-CN"/>
        </w:rPr>
        <w:t>1-2</w:t>
      </w:r>
      <w:r>
        <w:rPr>
          <w:rFonts w:hint="eastAsia"/>
        </w:rPr>
        <w:t>个基础条件好、服务带动能力强的专业化育秧主体，为无劳力、无技术、不愿育秧的普通散户开展早稻机插秧专业化集中育秧服务</w:t>
      </w:r>
      <w:r>
        <w:rPr>
          <w:rFonts w:hint="eastAsia"/>
          <w:lang w:eastAsia="zh-CN"/>
        </w:rPr>
        <w:t>。力争</w:t>
      </w:r>
      <w:r>
        <w:rPr>
          <w:rFonts w:hint="eastAsia"/>
        </w:rPr>
        <w:t>全</w:t>
      </w:r>
      <w:r>
        <w:rPr>
          <w:rFonts w:hint="eastAsia"/>
          <w:lang w:eastAsia="zh-CN"/>
        </w:rPr>
        <w:t>县</w:t>
      </w:r>
      <w:r>
        <w:rPr>
          <w:rFonts w:hint="eastAsia"/>
        </w:rPr>
        <w:t>双季稻稳定在</w:t>
      </w:r>
      <w:r>
        <w:rPr>
          <w:rFonts w:hint="eastAsia"/>
          <w:lang w:val="en-US" w:eastAsia="zh-CN"/>
        </w:rPr>
        <w:t>9</w:t>
      </w:r>
      <w:r>
        <w:rPr>
          <w:rFonts w:hint="eastAsia"/>
        </w:rPr>
        <w:t>万亩以上，确保水稻直播和“双改单”等问题得到有效遏制。</w:t>
      </w:r>
    </w:p>
    <w:p>
      <w:pPr>
        <w:rPr>
          <w:rFonts w:hint="eastAsia" w:eastAsia="仿宋_GB2312"/>
          <w:lang w:eastAsia="zh-CN"/>
        </w:rPr>
      </w:pPr>
      <w:r>
        <w:rPr>
          <w:rStyle w:val="7"/>
          <w:rFonts w:hint="eastAsia"/>
          <w:lang w:eastAsia="zh-CN"/>
        </w:rPr>
        <w:t>（二）</w:t>
      </w:r>
      <w:r>
        <w:rPr>
          <w:rStyle w:val="7"/>
          <w:rFonts w:hint="eastAsia"/>
        </w:rPr>
        <w:t>提升机械化育秧水平。</w:t>
      </w:r>
      <w:r>
        <w:rPr>
          <w:rFonts w:hint="eastAsia"/>
        </w:rPr>
        <w:t>重点支持水稻机械化</w:t>
      </w:r>
      <w:r>
        <w:rPr>
          <w:rFonts w:hint="eastAsia"/>
          <w:lang w:eastAsia="zh-CN"/>
        </w:rPr>
        <w:t>育</w:t>
      </w:r>
      <w:r>
        <w:rPr>
          <w:rFonts w:hint="eastAsia"/>
        </w:rPr>
        <w:t>秧技术示范推广，探索低成本、社会化育秧模式，着力补齐水稻播种、育秧环节机械化生产短板，推动全县机械化育秧生产稳步发</w:t>
      </w:r>
      <w:r>
        <w:rPr>
          <w:rFonts w:hint="eastAsia"/>
          <w:lang w:eastAsia="zh-CN"/>
        </w:rPr>
        <w:t>展。</w:t>
      </w:r>
    </w:p>
    <w:p>
      <w:pPr>
        <w:pStyle w:val="2"/>
        <w:bidi w:val="0"/>
        <w:rPr>
          <w:rFonts w:hint="eastAsia"/>
        </w:rPr>
      </w:pPr>
      <w:r>
        <w:rPr>
          <w:rFonts w:hint="eastAsia"/>
        </w:rPr>
        <w:t>三、建设重点</w:t>
      </w:r>
    </w:p>
    <w:p>
      <w:pPr>
        <w:rPr>
          <w:rFonts w:hint="eastAsia"/>
        </w:rPr>
      </w:pPr>
      <w:r>
        <w:rPr>
          <w:rStyle w:val="7"/>
          <w:rFonts w:hint="eastAsia"/>
        </w:rPr>
        <w:t>（一）申报区域。</w:t>
      </w:r>
      <w:r>
        <w:rPr>
          <w:rFonts w:hint="eastAsia"/>
        </w:rPr>
        <w:t>全县水稻生产</w:t>
      </w:r>
      <w:r>
        <w:rPr>
          <w:rFonts w:hint="eastAsia"/>
          <w:lang w:eastAsia="zh-CN"/>
        </w:rPr>
        <w:t>者</w:t>
      </w:r>
      <w:r>
        <w:rPr>
          <w:rFonts w:hint="eastAsia"/>
        </w:rPr>
        <w:t>自愿申报，根据申报情况择优给予支持。</w:t>
      </w:r>
    </w:p>
    <w:p>
      <w:pPr>
        <w:rPr>
          <w:rFonts w:hint="eastAsia"/>
        </w:rPr>
      </w:pPr>
      <w:r>
        <w:rPr>
          <w:rStyle w:val="7"/>
          <w:rFonts w:hint="eastAsia"/>
        </w:rPr>
        <w:t>（二）建设内容。</w:t>
      </w:r>
      <w:r>
        <w:rPr>
          <w:rFonts w:hint="eastAsia"/>
        </w:rPr>
        <w:t>一是播种出苗车间。主要包括用于满足播种出苗相关生产服务作业所需的轻钢结构厂房或各类温室。二是育秧温室大棚。主要包括育秧使用的连栋温室、塑料大棚等各类温室设施。三是育秧设施设备。主要包括浸种池、催芽室等专用设施；碎土机、筛土机、输送机等可多年使用的固定资产设备。</w:t>
      </w:r>
    </w:p>
    <w:p>
      <w:pPr>
        <w:rPr>
          <w:rFonts w:hint="eastAsia"/>
        </w:rPr>
      </w:pPr>
      <w:r>
        <w:rPr>
          <w:rStyle w:val="7"/>
          <w:rFonts w:hint="eastAsia"/>
        </w:rPr>
        <w:t>（三）支持对象。</w:t>
      </w:r>
      <w:r>
        <w:rPr>
          <w:rFonts w:hint="eastAsia"/>
        </w:rPr>
        <w:t>对从事集中育秧（苗）的个人和农业生产经营组织（以下简称实施主体）择优支持，其中农业生产经营组织包括家庭农场、农民专业合作社、农村集体经济组织、农业企业和其他从事农业生产经营的组织。</w:t>
      </w:r>
    </w:p>
    <w:p>
      <w:pPr>
        <w:rPr>
          <w:rFonts w:hint="eastAsia"/>
        </w:rPr>
      </w:pPr>
      <w:r>
        <w:rPr>
          <w:rStyle w:val="7"/>
          <w:rFonts w:hint="eastAsia"/>
        </w:rPr>
        <w:t>（四）补助标准。</w:t>
      </w:r>
      <w:r>
        <w:rPr>
          <w:rFonts w:hint="eastAsia"/>
        </w:rPr>
        <w:t>实行分档分类分批补助，并执行“双限”标准，即按照不超过项目规定建设内容总投资的30％给予补助，补助规模最高不超过分档对应的补助标准（见附件1）。补助资金根据任务完成情况拨付，设施建成并通过核验后拨付80％，剩余补助资金根据服务育秧面积、设施管护情况等拨付。政策实施期内，承担集中育秧设施建设任务的实施主体购置规定的集中育秧设施中相关设施设备不重复享受农机购置与应用补贴政策。集中育秧设施建成后的运维管护等后续相关费用由实施主体自行承担。</w:t>
      </w:r>
    </w:p>
    <w:p>
      <w:pPr>
        <w:pStyle w:val="2"/>
        <w:bidi w:val="0"/>
        <w:rPr>
          <w:rFonts w:hint="eastAsia"/>
        </w:rPr>
      </w:pPr>
      <w:r>
        <w:rPr>
          <w:rFonts w:hint="eastAsia"/>
        </w:rPr>
        <w:t>四、组织实施</w:t>
      </w:r>
    </w:p>
    <w:p>
      <w:pPr>
        <w:rPr>
          <w:rFonts w:hint="eastAsia"/>
        </w:rPr>
      </w:pPr>
      <w:r>
        <w:rPr>
          <w:rFonts w:hint="eastAsia"/>
        </w:rPr>
        <w:t>按照自愿申报、自主建设、先建后补的程序，支持实施主体新建或改扩建育秧设施。</w:t>
      </w:r>
    </w:p>
    <w:p>
      <w:pPr>
        <w:rPr>
          <w:rFonts w:hint="eastAsia"/>
        </w:rPr>
      </w:pPr>
      <w:r>
        <w:rPr>
          <w:rStyle w:val="7"/>
          <w:rFonts w:hint="eastAsia"/>
        </w:rPr>
        <w:t>（</w:t>
      </w:r>
      <w:r>
        <w:rPr>
          <w:rStyle w:val="7"/>
          <w:rFonts w:hint="eastAsia"/>
          <w:lang w:eastAsia="zh-CN"/>
        </w:rPr>
        <w:t>一</w:t>
      </w:r>
      <w:r>
        <w:rPr>
          <w:rStyle w:val="7"/>
          <w:rFonts w:hint="eastAsia"/>
        </w:rPr>
        <w:t>）组织申报建设。</w:t>
      </w:r>
      <w:r>
        <w:rPr>
          <w:rFonts w:hint="eastAsia"/>
        </w:rPr>
        <w:t>及时发布实施方案、补助标准等政策信息，积极引导实施主体开展申报和建设工作。实施主体按规定提交申请资料，对真实性、完整性和有效性负责，并承担相关法律责任。实施主体自主选择信誉良好的设备供应企业和专业施工企业开展建设、采购符合标准的设施设备，对建设和采购的设施设备拥有所有权，同时承担安全建设运营的主体责任。有条件的实施主体应抓紧开展建设，尽快服务水稻生产。</w:t>
      </w:r>
    </w:p>
    <w:p>
      <w:pPr>
        <w:rPr>
          <w:rFonts w:hint="eastAsia"/>
        </w:rPr>
      </w:pPr>
      <w:r>
        <w:rPr>
          <w:rStyle w:val="7"/>
          <w:rFonts w:hint="eastAsia"/>
        </w:rPr>
        <w:t>（</w:t>
      </w:r>
      <w:r>
        <w:rPr>
          <w:rStyle w:val="7"/>
          <w:rFonts w:hint="eastAsia"/>
          <w:lang w:eastAsia="zh-CN"/>
        </w:rPr>
        <w:t>二</w:t>
      </w:r>
      <w:r>
        <w:rPr>
          <w:rStyle w:val="7"/>
          <w:rFonts w:hint="eastAsia"/>
        </w:rPr>
        <w:t>）做好核验兑付。</w:t>
      </w:r>
      <w:r>
        <w:rPr>
          <w:rFonts w:hint="eastAsia"/>
        </w:rPr>
        <w:t>设施建成后，实施主体提出核验申请，县级农业农村部门、财政部门会同相关部门，及时对设施设备建设的规范性、申报内容的一致性、技术方案的符合性等开展核验，</w:t>
      </w:r>
      <w:r>
        <w:rPr>
          <w:rFonts w:hint="eastAsia"/>
          <w:lang w:eastAsia="zh-CN"/>
        </w:rPr>
        <w:t>或</w:t>
      </w:r>
      <w:r>
        <w:rPr>
          <w:rFonts w:hint="eastAsia"/>
        </w:rPr>
        <w:t>委托第三方评估机构开展校验。县级农业农村部门、财政部门按照职责分工和时限要求，向通过校验的实施主体兑付第一批补助资金，后续再适时组织开展设施建设成效核验，对符合条件的实施主体兑付第二批补助资金，并同步公示补助发放情况。</w:t>
      </w:r>
    </w:p>
    <w:p>
      <w:pPr>
        <w:pStyle w:val="2"/>
        <w:bidi w:val="0"/>
        <w:rPr>
          <w:rFonts w:hint="eastAsia"/>
        </w:rPr>
      </w:pPr>
      <w:r>
        <w:rPr>
          <w:rFonts w:hint="eastAsia"/>
        </w:rPr>
        <w:t>五、工作要求</w:t>
      </w:r>
    </w:p>
    <w:p>
      <w:pPr>
        <w:jc w:val="left"/>
        <w:rPr>
          <w:rFonts w:hint="eastAsia"/>
        </w:rPr>
      </w:pPr>
      <w:r>
        <w:rPr>
          <w:rStyle w:val="7"/>
          <w:rFonts w:hint="eastAsia"/>
        </w:rPr>
        <w:t>（一）加强组织领导。</w:t>
      </w:r>
      <w:r>
        <w:rPr>
          <w:rFonts w:hint="eastAsia"/>
        </w:rPr>
        <w:t>从保障粮食安全的角度切实重视水稻集中育秧设施建设工作，切实落实主体责任。</w:t>
      </w:r>
      <w:r>
        <w:rPr>
          <w:rFonts w:hint="eastAsia" w:ascii="仿宋_GB2312" w:hAnsi="仿宋_GB2312" w:eastAsia="仿宋_GB2312" w:cs="仿宋_GB2312"/>
          <w:sz w:val="32"/>
          <w:szCs w:val="32"/>
          <w:lang w:val="en-US" w:eastAsia="zh-CN"/>
        </w:rPr>
        <w:t>成立崇阳县2023年水稻集中育秧设施建设项目领导小组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由分管农业副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王顺荣</w:t>
      </w:r>
      <w:r>
        <w:rPr>
          <w:rFonts w:hint="eastAsia" w:ascii="仿宋_GB2312" w:hAnsi="仿宋_GB2312" w:eastAsia="仿宋_GB2312" w:cs="仿宋_GB2312"/>
          <w:sz w:val="32"/>
          <w:szCs w:val="32"/>
        </w:rPr>
        <w:t>担任组长，</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局长徐涛任副组长，县</w:t>
      </w:r>
      <w:r>
        <w:rPr>
          <w:rFonts w:hint="eastAsia" w:ascii="仿宋_GB2312" w:hAnsi="仿宋_GB2312" w:eastAsia="仿宋_GB2312" w:cs="仿宋_GB2312"/>
          <w:sz w:val="32"/>
          <w:szCs w:val="32"/>
        </w:rPr>
        <w:t>财政局、</w:t>
      </w:r>
      <w:r>
        <w:rPr>
          <w:rFonts w:hint="eastAsia" w:ascii="仿宋_GB2312" w:hAnsi="仿宋_GB2312" w:cs="仿宋_GB2312"/>
          <w:sz w:val="32"/>
          <w:szCs w:val="32"/>
          <w:lang w:eastAsia="zh-CN"/>
        </w:rPr>
        <w:t>相关</w:t>
      </w:r>
      <w:r>
        <w:rPr>
          <w:rFonts w:hint="eastAsia" w:ascii="仿宋_GB2312" w:hAnsi="仿宋_GB2312" w:eastAsia="仿宋_GB2312" w:cs="仿宋_GB2312"/>
          <w:sz w:val="32"/>
          <w:szCs w:val="32"/>
        </w:rPr>
        <w:t>乡镇政府</w:t>
      </w:r>
      <w:r>
        <w:rPr>
          <w:rFonts w:hint="eastAsia" w:ascii="仿宋_GB2312" w:hAnsi="仿宋_GB2312" w:eastAsia="仿宋_GB2312" w:cs="仿宋_GB2312"/>
          <w:sz w:val="32"/>
          <w:szCs w:val="32"/>
          <w:lang w:eastAsia="zh-CN"/>
        </w:rPr>
        <w:t>分管农业领导等</w:t>
      </w:r>
      <w:r>
        <w:rPr>
          <w:rFonts w:hint="eastAsia" w:ascii="仿宋_GB2312" w:hAnsi="仿宋_GB2312" w:eastAsia="仿宋_GB2312" w:cs="仿宋_GB2312"/>
          <w:sz w:val="32"/>
          <w:szCs w:val="32"/>
        </w:rPr>
        <w:t>为成员</w:t>
      </w:r>
      <w:r>
        <w:rPr>
          <w:rFonts w:hint="eastAsia" w:ascii="仿宋_GB2312" w:hAnsi="仿宋_GB2312" w:eastAsia="仿宋_GB2312" w:cs="仿宋_GB2312"/>
          <w:sz w:val="32"/>
          <w:szCs w:val="32"/>
          <w:lang w:eastAsia="zh-CN"/>
        </w:rPr>
        <w:t>，</w:t>
      </w:r>
      <w:r>
        <w:rPr>
          <w:rFonts w:hint="eastAsia"/>
        </w:rPr>
        <w:t>农业农村部门、财政部门依照“政府引导、市场运作、服务群众、注重实效”的原则，明确职责分工，加强沟通协作，引导实施主体提高设施综合利用效率。</w:t>
      </w:r>
    </w:p>
    <w:p>
      <w:pPr>
        <w:rPr>
          <w:rFonts w:hint="eastAsia"/>
        </w:rPr>
      </w:pPr>
      <w:r>
        <w:rPr>
          <w:rStyle w:val="7"/>
          <w:rFonts w:hint="eastAsia"/>
        </w:rPr>
        <w:t>（二）强化指导服务。</w:t>
      </w:r>
      <w:r>
        <w:rPr>
          <w:rFonts w:hint="eastAsia"/>
        </w:rPr>
        <w:t>成立崇阳县2023年</w:t>
      </w:r>
      <w:r>
        <w:rPr>
          <w:rFonts w:hint="eastAsia" w:ascii="仿宋_GB2312" w:hAnsi="仿宋_GB2312" w:eastAsia="仿宋_GB2312" w:cs="仿宋_GB2312"/>
          <w:sz w:val="32"/>
          <w:szCs w:val="32"/>
          <w:lang w:val="zh-CN" w:bidi="zh-CN"/>
        </w:rPr>
        <w:t>水稻集中育秧设施建设项目技术指导工作专班</w:t>
      </w:r>
      <w:r>
        <w:rPr>
          <w:rFonts w:hint="eastAsia"/>
          <w:lang w:eastAsia="zh-CN"/>
        </w:rPr>
        <w:t>，</w:t>
      </w:r>
      <w:r>
        <w:rPr>
          <w:rFonts w:hint="eastAsia"/>
        </w:rPr>
        <w:t>加强技术指导和跟踪服务，在关键农时节点，深入生产一线，</w:t>
      </w:r>
      <w:r>
        <w:rPr>
          <w:rFonts w:hint="eastAsia"/>
          <w:lang w:eastAsia="zh-CN"/>
        </w:rPr>
        <w:t>在全县</w:t>
      </w:r>
      <w:r>
        <w:rPr>
          <w:rFonts w:hint="eastAsia"/>
        </w:rPr>
        <w:t>开展集中育秧技术及机插秧相关配套技术培训指导，提高技术到位率。指导条件适宜的地区依托集中育秧设施开展油菜等育苗服务，最大限度发挥设施利用效率。鼓励实施主体开展代耕代种、代育代插等育插一体化服务，确保集中育秧成果惠及周边农户。</w:t>
      </w:r>
    </w:p>
    <w:p>
      <w:pPr>
        <w:rPr>
          <w:rFonts w:hint="eastAsia"/>
        </w:rPr>
      </w:pPr>
      <w:r>
        <w:rPr>
          <w:rStyle w:val="7"/>
          <w:rFonts w:hint="eastAsia"/>
        </w:rPr>
        <w:t>（三）严格风险防控。</w:t>
      </w:r>
      <w:r>
        <w:rPr>
          <w:rFonts w:hint="eastAsia"/>
        </w:rPr>
        <w:t>农业农村部门、财政部门加强资金监管，定期调度项目建设、资金使用等进度情况；要压实建设主体责任，严格核验程序，保证建设质量和安全，严密防范各类风险隐患；同时加强对集中育秧设施建成后使用情况的监督检查，确保在育秧期集中用于育秧，在空闲期只用于农业生产，杜绝“非农化”行为。</w:t>
      </w:r>
    </w:p>
    <w:p>
      <w:pPr>
        <w:rPr>
          <w:rFonts w:hint="eastAsia"/>
        </w:rPr>
      </w:pPr>
      <w:r>
        <w:rPr>
          <w:rStyle w:val="7"/>
          <w:rFonts w:hint="eastAsia"/>
        </w:rPr>
        <w:t>（四）做好宣传引导。</w:t>
      </w:r>
      <w:r>
        <w:rPr>
          <w:rFonts w:hint="eastAsia"/>
        </w:rPr>
        <w:t>通过多种媒体和渠道，对项目补助政策、增产增效优势等进行多种形式宣传，提高农户对集中育秧的认知度；同时对集中育秧示范推广中的经验做法和典型模式进行总结和宣传报道，不断提升集中育秧水平。</w:t>
      </w:r>
    </w:p>
    <w:p>
      <w:pPr>
        <w:rPr>
          <w:rFonts w:hint="eastAsia"/>
        </w:rPr>
      </w:pPr>
    </w:p>
    <w:p>
      <w:pPr>
        <w:rPr>
          <w:rFonts w:hint="eastAsia"/>
        </w:rPr>
      </w:pPr>
    </w:p>
    <w:p>
      <w:pPr>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水稻</w:t>
      </w:r>
      <w:r>
        <w:rPr>
          <w:rFonts w:hint="eastAsia" w:ascii="仿宋_GB2312" w:hAnsi="仿宋_GB2312" w:eastAsia="仿宋_GB2312" w:cs="仿宋_GB2312"/>
          <w:sz w:val="32"/>
        </w:rPr>
        <w:t>集中育秧设施建设补助标准表</w:t>
      </w:r>
    </w:p>
    <w:p>
      <w:pPr>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崇阳县集中育秧设</w:t>
      </w:r>
      <w:bookmarkStart w:id="0" w:name="_GoBack"/>
      <w:bookmarkEnd w:id="0"/>
      <w:r>
        <w:rPr>
          <w:rFonts w:hint="eastAsia" w:ascii="仿宋_GB2312" w:hAnsi="仿宋_GB2312" w:eastAsia="仿宋_GB2312" w:cs="仿宋_GB2312"/>
          <w:sz w:val="32"/>
        </w:rPr>
        <w:t>施建情况汇总</w:t>
      </w:r>
    </w:p>
    <w:p>
      <w:pPr>
        <w:ind w:left="0" w:leftChars="0" w:firstLine="0" w:firstLineChars="0"/>
        <w:rPr>
          <w:rFonts w:hint="eastAsia" w:ascii="Times New Roman" w:hAnsi="Times New Roman" w:eastAsia="仿宋_GB2312" w:cs="Times New Roman"/>
          <w:sz w:val="32"/>
        </w:rPr>
      </w:pPr>
    </w:p>
    <w:p>
      <w:pPr>
        <w:rPr>
          <w:rFonts w:hint="eastAsia" w:ascii="Times New Roman" w:hAnsi="Times New Roman" w:eastAsia="仿宋_GB2312" w:cs="Times New Roman"/>
          <w:sz w:val="32"/>
        </w:rPr>
      </w:pPr>
    </w:p>
    <w:p>
      <w:pPr>
        <w:wordWrap w:val="0"/>
        <w:ind w:left="0" w:leftChars="0" w:firstLine="0" w:firstLineChars="0"/>
        <w:jc w:val="righ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eastAsia="zh-CN"/>
        </w:rPr>
        <w:t>崇阳县</w:t>
      </w:r>
      <w:r>
        <w:rPr>
          <w:rFonts w:hint="eastAsia" w:ascii="仿宋_GB2312" w:hAnsi="仿宋_GB2312" w:eastAsia="仿宋_GB2312" w:cs="仿宋_GB2312"/>
          <w:sz w:val="32"/>
        </w:rPr>
        <w:t>农业农村局</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w:t>
      </w: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崇阳县</w:t>
      </w:r>
      <w:r>
        <w:rPr>
          <w:rFonts w:hint="eastAsia" w:ascii="仿宋_GB2312" w:hAnsi="仿宋_GB2312" w:eastAsia="仿宋_GB2312" w:cs="仿宋_GB2312"/>
          <w:sz w:val="32"/>
        </w:rPr>
        <w:t>财政局</w:t>
      </w:r>
      <w:r>
        <w:rPr>
          <w:rFonts w:hint="eastAsia" w:ascii="仿宋_GB2312" w:hAnsi="仿宋_GB2312" w:cs="仿宋_GB2312"/>
          <w:sz w:val="32"/>
          <w:lang w:val="en-US" w:eastAsia="zh-CN"/>
        </w:rPr>
        <w:t xml:space="preserve">    </w:t>
      </w:r>
    </w:p>
    <w:p>
      <w:pPr>
        <w:wordWrap w:val="0"/>
        <w:ind w:left="0" w:leftChars="0" w:firstLine="0" w:firstLineChars="0"/>
        <w:jc w:val="right"/>
        <w:rPr>
          <w:rFonts w:hint="default" w:ascii="仿宋_GB2312" w:hAnsi="仿宋_GB2312" w:eastAsia="仿宋_GB2312" w:cs="仿宋_GB2312"/>
          <w:sz w:val="32"/>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2023年3月</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日</w:t>
      </w:r>
      <w:r>
        <w:rPr>
          <w:rFonts w:hint="eastAsia" w:ascii="仿宋_GB2312" w:hAnsi="仿宋_GB2312" w:cs="仿宋_GB2312"/>
          <w:sz w:val="32"/>
          <w:lang w:val="en-US" w:eastAsia="zh-CN"/>
        </w:rPr>
        <w:t xml:space="preserve">   </w:t>
      </w:r>
    </w:p>
    <w:p>
      <w:pPr>
        <w:rPr>
          <w:rFonts w:hint="eastAsia" w:ascii="Times New Roman" w:hAnsi="Times New Roman" w:eastAsia="仿宋_GB2312" w:cs="Times New Roman"/>
          <w:sz w:val="32"/>
        </w:rPr>
      </w:pPr>
      <w:r>
        <w:rPr>
          <w:rFonts w:hint="eastAsia" w:ascii="Times New Roman" w:hAnsi="Times New Roman" w:eastAsia="仿宋_GB2312" w:cs="Times New Roman"/>
          <w:sz w:val="32"/>
        </w:rPr>
        <w:t>附件1</w:t>
      </w:r>
    </w:p>
    <w:p>
      <w:pPr>
        <w:jc w:val="center"/>
        <w:rPr>
          <w:rFonts w:hint="eastAsia" w:ascii="黑体" w:hAnsi="黑体" w:eastAsia="黑体" w:cs="Times New Roman"/>
          <w:sz w:val="32"/>
        </w:rPr>
      </w:pPr>
      <w:r>
        <w:rPr>
          <w:rFonts w:hint="eastAsia" w:ascii="黑体" w:hAnsi="黑体" w:eastAsia="黑体" w:cs="Times New Roman"/>
          <w:sz w:val="32"/>
          <w:lang w:eastAsia="zh-CN"/>
        </w:rPr>
        <w:t>水稻</w:t>
      </w:r>
      <w:r>
        <w:rPr>
          <w:rFonts w:hint="eastAsia" w:ascii="黑体" w:hAnsi="黑体" w:eastAsia="黑体" w:cs="Times New Roman"/>
          <w:sz w:val="32"/>
        </w:rPr>
        <w:t>集中育秧设施建设补助标准表</w:t>
      </w:r>
    </w:p>
    <w:p>
      <w:pPr>
        <w:jc w:val="center"/>
        <w:rPr>
          <w:rFonts w:hint="eastAsia" w:ascii="黑体" w:hAnsi="黑体" w:eastAsia="黑体" w:cs="Times New Roman"/>
          <w:sz w:val="32"/>
        </w:rPr>
      </w:pP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551"/>
        <w:gridCol w:w="4285"/>
        <w:gridCol w:w="237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6" w:type="dxa"/>
            <w:vAlign w:val="center"/>
          </w:tcPr>
          <w:p>
            <w:pPr>
              <w:spacing w:line="280" w:lineRule="exact"/>
              <w:ind w:left="0" w:leftChars="0" w:firstLine="0" w:firstLineChars="0"/>
              <w:jc w:val="center"/>
              <w:rPr>
                <w:rFonts w:ascii="黑体" w:hAnsi="黑体" w:eastAsia="黑体" w:cs="Times New Roman"/>
                <w:sz w:val="24"/>
              </w:rPr>
            </w:pPr>
            <w:r>
              <w:rPr>
                <w:rFonts w:hint="eastAsia" w:ascii="黑体" w:hAnsi="黑体" w:eastAsia="黑体" w:cs="Times New Roman"/>
                <w:sz w:val="24"/>
              </w:rPr>
              <w:t>序号</w:t>
            </w:r>
          </w:p>
        </w:tc>
        <w:tc>
          <w:tcPr>
            <w:tcW w:w="2551" w:type="dxa"/>
            <w:vAlign w:val="center"/>
          </w:tcPr>
          <w:p>
            <w:pPr>
              <w:spacing w:line="280" w:lineRule="exact"/>
              <w:ind w:left="0" w:leftChars="0" w:firstLine="0" w:firstLineChars="0"/>
              <w:jc w:val="center"/>
              <w:rPr>
                <w:rFonts w:hint="eastAsia" w:ascii="黑体" w:hAnsi="黑体" w:eastAsia="黑体" w:cs="Times New Roman"/>
                <w:sz w:val="24"/>
              </w:rPr>
            </w:pPr>
            <w:r>
              <w:rPr>
                <w:rFonts w:hint="eastAsia" w:ascii="黑体" w:hAnsi="黑体" w:eastAsia="黑体" w:cs="Times New Roman"/>
                <w:sz w:val="24"/>
              </w:rPr>
              <w:t>分档（按服务水稻</w:t>
            </w:r>
          </w:p>
          <w:p>
            <w:pPr>
              <w:spacing w:line="280" w:lineRule="exact"/>
              <w:ind w:left="0" w:leftChars="0" w:firstLine="0" w:firstLineChars="0"/>
              <w:jc w:val="center"/>
              <w:rPr>
                <w:rFonts w:ascii="黑体" w:hAnsi="黑体" w:eastAsia="黑体" w:cs="Times New Roman"/>
                <w:sz w:val="24"/>
              </w:rPr>
            </w:pPr>
            <w:r>
              <w:rPr>
                <w:rFonts w:hint="eastAsia" w:ascii="黑体" w:hAnsi="黑体" w:eastAsia="黑体" w:cs="Times New Roman"/>
                <w:sz w:val="24"/>
              </w:rPr>
              <w:t>大田面积，亩）</w:t>
            </w:r>
          </w:p>
        </w:tc>
        <w:tc>
          <w:tcPr>
            <w:tcW w:w="4285" w:type="dxa"/>
            <w:vAlign w:val="center"/>
          </w:tcPr>
          <w:p>
            <w:pPr>
              <w:spacing w:line="280" w:lineRule="exact"/>
              <w:ind w:left="0" w:leftChars="0" w:firstLine="0" w:firstLineChars="0"/>
              <w:jc w:val="center"/>
              <w:rPr>
                <w:rFonts w:ascii="黑体" w:hAnsi="黑体" w:eastAsia="黑体" w:cs="Times New Roman"/>
                <w:sz w:val="24"/>
              </w:rPr>
            </w:pPr>
            <w:r>
              <w:rPr>
                <w:rFonts w:hint="eastAsia" w:ascii="黑体" w:hAnsi="黑体" w:eastAsia="黑体" w:cs="Times New Roman"/>
                <w:sz w:val="24"/>
              </w:rPr>
              <w:t>分类</w:t>
            </w:r>
          </w:p>
        </w:tc>
        <w:tc>
          <w:tcPr>
            <w:tcW w:w="2377" w:type="dxa"/>
            <w:vAlign w:val="center"/>
          </w:tcPr>
          <w:p>
            <w:pPr>
              <w:spacing w:line="280" w:lineRule="exact"/>
              <w:ind w:left="0" w:leftChars="0" w:firstLine="0" w:firstLineChars="0"/>
              <w:jc w:val="center"/>
              <w:rPr>
                <w:rFonts w:ascii="黑体" w:hAnsi="黑体" w:eastAsia="黑体" w:cs="Times New Roman"/>
                <w:sz w:val="24"/>
              </w:rPr>
            </w:pPr>
            <w:r>
              <w:rPr>
                <w:rFonts w:hint="eastAsia" w:ascii="黑体" w:hAnsi="黑体" w:eastAsia="黑体" w:cs="Times New Roman"/>
                <w:sz w:val="24"/>
              </w:rPr>
              <w:t>补助标准</w:t>
            </w:r>
          </w:p>
        </w:tc>
        <w:tc>
          <w:tcPr>
            <w:tcW w:w="2694" w:type="dxa"/>
            <w:vAlign w:val="center"/>
          </w:tcPr>
          <w:p>
            <w:pPr>
              <w:spacing w:line="280" w:lineRule="exact"/>
              <w:ind w:left="0" w:leftChars="0" w:firstLine="0" w:firstLineChars="0"/>
              <w:jc w:val="center"/>
              <w:rPr>
                <w:rFonts w:ascii="黑体" w:hAnsi="黑体" w:eastAsia="黑体" w:cs="Times New Roman"/>
                <w:sz w:val="24"/>
              </w:rPr>
            </w:pPr>
            <w:r>
              <w:rPr>
                <w:rFonts w:hint="eastAsia" w:ascii="黑体" w:hAnsi="黑体" w:eastAsia="黑体" w:cs="Times New Roman"/>
                <w:sz w:val="24"/>
              </w:rPr>
              <w:t>补助上限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2551"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200-500（含）</w:t>
            </w: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轻钢结构厂房+塑料大棚育苗</w:t>
            </w:r>
          </w:p>
        </w:tc>
        <w:tc>
          <w:tcPr>
            <w:tcW w:w="2377"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不超过项目规定建设内容涉及投资的30%和补助上限</w:t>
            </w: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2551"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500-1000（含）</w:t>
            </w: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2551"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1000-2000（含）</w:t>
            </w: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2551"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2000-3000（含）</w:t>
            </w: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2551" w:type="dxa"/>
            <w:vMerge w:val="restart"/>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大于3000</w:t>
            </w: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连栋薄膜温室+塑料大棚育苗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轻钢结构厂房+露地秧田育苗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0" w:lineRule="exact"/>
              <w:jc w:val="center"/>
              <w:rPr>
                <w:rFonts w:ascii="Times New Roman" w:hAnsi="Times New Roman" w:eastAsia="仿宋_GB2312" w:cs="Times New Roman"/>
                <w:sz w:val="24"/>
                <w:szCs w:val="24"/>
              </w:rPr>
            </w:pPr>
          </w:p>
        </w:tc>
        <w:tc>
          <w:tcPr>
            <w:tcW w:w="2551" w:type="dxa"/>
            <w:vMerge w:val="continue"/>
            <w:vAlign w:val="center"/>
          </w:tcPr>
          <w:p>
            <w:pPr>
              <w:spacing w:line="280" w:lineRule="exact"/>
              <w:jc w:val="center"/>
              <w:rPr>
                <w:rFonts w:ascii="Times New Roman" w:hAnsi="Times New Roman" w:eastAsia="仿宋_GB2312" w:cs="Times New Roman"/>
                <w:sz w:val="24"/>
                <w:szCs w:val="24"/>
              </w:rPr>
            </w:pPr>
          </w:p>
        </w:tc>
        <w:tc>
          <w:tcPr>
            <w:tcW w:w="4285"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连栋薄膜温室+露地秧田育苗</w:t>
            </w:r>
          </w:p>
        </w:tc>
        <w:tc>
          <w:tcPr>
            <w:tcW w:w="2377" w:type="dxa"/>
            <w:vMerge w:val="continue"/>
            <w:vAlign w:val="center"/>
          </w:tcPr>
          <w:p>
            <w:pPr>
              <w:spacing w:line="280" w:lineRule="exact"/>
              <w:jc w:val="center"/>
              <w:rPr>
                <w:rFonts w:ascii="Times New Roman" w:hAnsi="Times New Roman" w:eastAsia="仿宋_GB2312" w:cs="Times New Roman"/>
                <w:sz w:val="24"/>
                <w:szCs w:val="24"/>
              </w:rPr>
            </w:pPr>
          </w:p>
        </w:tc>
        <w:tc>
          <w:tcPr>
            <w:tcW w:w="2694" w:type="dxa"/>
            <w:vAlign w:val="center"/>
          </w:tcPr>
          <w:p>
            <w:pPr>
              <w:spacing w:line="280" w:lineRule="exact"/>
              <w:ind w:left="0" w:leftChars="0"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r>
    </w:tbl>
    <w:p>
      <w:pPr>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rPr>
        <w:t>附件</w:t>
      </w:r>
      <w:r>
        <w:rPr>
          <w:rFonts w:hint="eastAsia" w:cs="Times New Roman"/>
          <w:sz w:val="32"/>
          <w:lang w:val="en-US" w:eastAsia="zh-CN"/>
        </w:rPr>
        <w:t>2</w:t>
      </w:r>
    </w:p>
    <w:p>
      <w:pPr>
        <w:jc w:val="center"/>
        <w:rPr>
          <w:rFonts w:hint="eastAsia" w:ascii="黑体" w:hAnsi="黑体" w:eastAsia="黑体" w:cs="Times New Roman"/>
          <w:sz w:val="32"/>
          <w:lang w:eastAsia="zh-CN"/>
        </w:rPr>
      </w:pPr>
      <w:r>
        <w:rPr>
          <w:rFonts w:hint="eastAsia" w:ascii="黑体" w:hAnsi="黑体" w:eastAsia="黑体" w:cs="Times New Roman"/>
          <w:sz w:val="32"/>
          <w:lang w:eastAsia="zh-CN"/>
        </w:rPr>
        <w:t>崇阳县</w:t>
      </w:r>
      <w:r>
        <w:rPr>
          <w:rFonts w:hint="eastAsia" w:ascii="黑体" w:hAnsi="黑体" w:eastAsia="黑体" w:cs="Times New Roman"/>
          <w:sz w:val="32"/>
        </w:rPr>
        <w:t>集中育秧设施建</w:t>
      </w:r>
      <w:r>
        <w:rPr>
          <w:rFonts w:hint="eastAsia" w:ascii="黑体" w:hAnsi="黑体" w:eastAsia="黑体" w:cs="Times New Roman"/>
          <w:sz w:val="32"/>
          <w:lang w:eastAsia="zh-CN"/>
        </w:rPr>
        <w:t>情况汇总</w:t>
      </w:r>
    </w:p>
    <w:p>
      <w:pPr>
        <w:rPr>
          <w:rFonts w:hint="eastAsia" w:ascii="黑体" w:hAnsi="黑体" w:eastAsia="黑体" w:cs="Times New Roman"/>
          <w:sz w:val="32"/>
          <w:lang w:eastAsia="zh-CN"/>
        </w:rPr>
      </w:pPr>
    </w:p>
    <w:p>
      <w:pPr>
        <w:bidi w:val="0"/>
        <w:rPr>
          <w:rFonts w:hint="eastAsia"/>
          <w:lang w:val="en-US" w:eastAsia="zh-CN"/>
        </w:rPr>
      </w:pPr>
      <w:r>
        <w:rPr>
          <w:rFonts w:hint="eastAsia"/>
          <w:lang w:eastAsia="zh-CN"/>
        </w:rPr>
        <w:t>填报单位（公章）：</w:t>
      </w:r>
      <w:r>
        <w:rPr>
          <w:rFonts w:hint="eastAsia"/>
          <w:lang w:val="en-US" w:eastAsia="zh-CN"/>
        </w:rPr>
        <w:t xml:space="preserve">       崇阳县农业农村局          崇阳县财政局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序号</w:t>
            </w:r>
          </w:p>
        </w:tc>
        <w:tc>
          <w:tcPr>
            <w:tcW w:w="1771"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实施主体名称</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地点（细化到乡镇、村、组）</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联系方式</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所属分类</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育秧面积（亩）</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栽插大田面积（亩）</w:t>
            </w:r>
          </w:p>
        </w:tc>
        <w:tc>
          <w:tcPr>
            <w:tcW w:w="1772" w:type="dxa"/>
            <w:vAlign w:val="center"/>
          </w:tcPr>
          <w:p>
            <w:pPr>
              <w:ind w:left="0" w:leftChars="0" w:firstLine="0" w:firstLineChars="0"/>
              <w:jc w:val="center"/>
              <w:rPr>
                <w:rFonts w:hint="default" w:ascii="黑体" w:hAnsi="黑体" w:eastAsia="黑体" w:cs="Times New Roman"/>
                <w:sz w:val="24"/>
                <w:szCs w:val="20"/>
                <w:vertAlign w:val="baseline"/>
                <w:lang w:val="en-US" w:eastAsia="zh-CN"/>
              </w:rPr>
            </w:pPr>
            <w:r>
              <w:rPr>
                <w:rFonts w:hint="eastAsia" w:ascii="黑体" w:hAnsi="黑体" w:eastAsia="黑体" w:cs="Times New Roman"/>
                <w:sz w:val="24"/>
                <w:szCs w:val="20"/>
                <w:vertAlign w:val="baseline"/>
                <w:lang w:val="en-US" w:eastAsia="zh-CN"/>
              </w:rPr>
              <w:t>申请补助金额（万元）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ind w:left="0" w:leftChars="0" w:firstLine="0" w:firstLineChars="0"/>
              <w:jc w:val="center"/>
              <w:rPr>
                <w:rFonts w:hint="eastAsia" w:ascii="仿宋_GB2312" w:hAnsi="仿宋_GB2312" w:eastAsia="仿宋_GB2312" w:cs="仿宋_GB2312"/>
                <w:sz w:val="24"/>
                <w:szCs w:val="20"/>
                <w:vertAlign w:val="baseline"/>
                <w:lang w:val="en-US" w:eastAsia="zh-CN"/>
              </w:rPr>
            </w:pPr>
            <w:r>
              <w:rPr>
                <w:rFonts w:hint="eastAsia" w:ascii="仿宋_GB2312" w:hAnsi="仿宋_GB2312" w:eastAsia="仿宋_GB2312" w:cs="仿宋_GB2312"/>
                <w:sz w:val="24"/>
                <w:szCs w:val="20"/>
                <w:vertAlign w:val="baseline"/>
                <w:lang w:val="en-US" w:eastAsia="zh-CN"/>
              </w:rPr>
              <w:t>1</w:t>
            </w:r>
          </w:p>
        </w:tc>
        <w:tc>
          <w:tcPr>
            <w:tcW w:w="1771"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c>
          <w:tcPr>
            <w:tcW w:w="1772" w:type="dxa"/>
          </w:tcPr>
          <w:p>
            <w:pPr>
              <w:ind w:left="0" w:leftChars="0" w:firstLine="0" w:firstLineChars="0"/>
              <w:jc w:val="center"/>
              <w:rPr>
                <w:rFonts w:hint="eastAsia" w:ascii="仿宋_GB2312" w:hAnsi="仿宋_GB2312" w:eastAsia="仿宋_GB2312" w:cs="仿宋_GB2312"/>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r>
              <w:rPr>
                <w:rFonts w:hint="eastAsia" w:ascii="仿宋_GB2312" w:hAnsi="仿宋_GB2312" w:eastAsia="仿宋_GB2312" w:cs="仿宋_GB2312"/>
                <w:kern w:val="0"/>
                <w:sz w:val="24"/>
                <w:szCs w:val="20"/>
                <w:vertAlign w:val="baseline"/>
                <w:lang w:val="en-US" w:eastAsia="zh-CN" w:bidi="ar-SA"/>
              </w:rPr>
              <w:t>2</w:t>
            </w: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r>
              <w:rPr>
                <w:rFonts w:hint="eastAsia" w:ascii="仿宋_GB2312" w:hAnsi="仿宋_GB2312" w:eastAsia="仿宋_GB2312" w:cs="仿宋_GB2312"/>
                <w:kern w:val="0"/>
                <w:sz w:val="24"/>
                <w:szCs w:val="20"/>
                <w:vertAlign w:val="baseline"/>
                <w:lang w:val="en-US" w:eastAsia="zh-CN" w:bidi="ar-SA"/>
              </w:rPr>
              <w:t>3</w:t>
            </w: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r>
              <w:rPr>
                <w:rFonts w:hint="eastAsia" w:ascii="仿宋_GB2312" w:hAnsi="仿宋_GB2312" w:eastAsia="仿宋_GB2312" w:cs="仿宋_GB2312"/>
                <w:kern w:val="0"/>
                <w:sz w:val="24"/>
                <w:szCs w:val="20"/>
                <w:vertAlign w:val="baseline"/>
                <w:lang w:val="en-US" w:eastAsia="zh-CN" w:bidi="ar-SA"/>
              </w:rPr>
              <w:t>...</w:t>
            </w: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ind w:left="0" w:leftChars="0" w:firstLine="0" w:firstLineChars="0"/>
              <w:jc w:val="center"/>
              <w:rPr>
                <w:rFonts w:hint="eastAsia" w:ascii="仿宋_GB2312" w:hAnsi="仿宋_GB2312" w:eastAsia="仿宋_GB2312" w:cs="仿宋_GB2312"/>
                <w:kern w:val="0"/>
                <w:sz w:val="24"/>
                <w:szCs w:val="20"/>
                <w:vertAlign w:val="baseline"/>
                <w:lang w:val="en-US" w:eastAsia="zh-CN" w:bidi="ar-SA"/>
              </w:rPr>
            </w:pPr>
            <w:r>
              <w:rPr>
                <w:rFonts w:hint="eastAsia" w:ascii="仿宋_GB2312" w:hAnsi="仿宋_GB2312" w:eastAsia="仿宋_GB2312" w:cs="仿宋_GB2312"/>
                <w:kern w:val="0"/>
                <w:sz w:val="24"/>
                <w:szCs w:val="20"/>
                <w:vertAlign w:val="baseline"/>
                <w:lang w:val="en-US" w:eastAsia="zh-CN" w:bidi="ar-SA"/>
              </w:rPr>
              <w:t>合计</w:t>
            </w:r>
          </w:p>
        </w:tc>
        <w:tc>
          <w:tcPr>
            <w:tcW w:w="1771"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c>
          <w:tcPr>
            <w:tcW w:w="1772" w:type="dxa"/>
            <w:vAlign w:val="top"/>
          </w:tcPr>
          <w:p>
            <w:pPr>
              <w:ind w:left="0" w:leftChars="0" w:firstLine="0" w:firstLineChars="0"/>
              <w:jc w:val="center"/>
              <w:rPr>
                <w:rFonts w:hint="eastAsia" w:ascii="仿宋_GB2312" w:hAnsi="仿宋_GB2312" w:eastAsia="仿宋_GB2312" w:cs="仿宋_GB2312"/>
                <w:kern w:val="0"/>
                <w:sz w:val="32"/>
                <w:szCs w:val="22"/>
                <w:vertAlign w:val="baseline"/>
                <w:lang w:val="en-US" w:eastAsia="zh-CN" w:bidi="ar-SA"/>
              </w:rPr>
            </w:pPr>
          </w:p>
        </w:tc>
      </w:tr>
    </w:tbl>
    <w:p>
      <w:pPr>
        <w:bidi w:val="0"/>
        <w:rPr>
          <w:rFonts w:hint="default"/>
          <w:lang w:val="en-US" w:eastAsia="zh-CN"/>
        </w:rPr>
      </w:pPr>
      <w:r>
        <w:rPr>
          <w:rFonts w:hint="eastAsia"/>
          <w:lang w:val="en-US" w:eastAsia="zh-CN"/>
        </w:rPr>
        <w:t>填报人：                                            联系电话：</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I2OGI5MWVhNjkzY2MzMjY5NThkNDFlYTkyZWQifQ=="/>
  </w:docVars>
  <w:rsids>
    <w:rsidRoot w:val="00000000"/>
    <w:rsid w:val="10996683"/>
    <w:rsid w:val="1461084C"/>
    <w:rsid w:val="15B86427"/>
    <w:rsid w:val="16E20734"/>
    <w:rsid w:val="17852722"/>
    <w:rsid w:val="1EA336D1"/>
    <w:rsid w:val="27380462"/>
    <w:rsid w:val="3EA96B4D"/>
    <w:rsid w:val="43DC0ECE"/>
    <w:rsid w:val="4437251A"/>
    <w:rsid w:val="51822100"/>
    <w:rsid w:val="547C3CE0"/>
    <w:rsid w:val="559430BC"/>
    <w:rsid w:val="56FE2550"/>
    <w:rsid w:val="57492C12"/>
    <w:rsid w:val="5DFC4D8E"/>
    <w:rsid w:val="66750B9C"/>
    <w:rsid w:val="67721337"/>
    <w:rsid w:val="72C275BF"/>
    <w:rsid w:val="7DD1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560" w:lineRule="exact"/>
      <w:ind w:firstLine="640" w:firstLineChars="200"/>
    </w:pPr>
    <w:rPr>
      <w:rFonts w:ascii="Times New Roman" w:hAnsi="Times New Roman" w:eastAsia="仿宋_GB2312" w:cs="仿宋_GB2312"/>
      <w:kern w:val="0"/>
      <w:sz w:val="32"/>
      <w:szCs w:val="22"/>
      <w:lang w:val="en-US" w:eastAsia="en-US"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黑体"/>
      <w:kern w:val="44"/>
      <w:sz w:val="32"/>
    </w:rPr>
  </w:style>
  <w:style w:type="paragraph" w:styleId="3">
    <w:name w:val="heading 2"/>
    <w:basedOn w:val="1"/>
    <w:next w:val="1"/>
    <w:link w:val="7"/>
    <w:unhideWhenUsed/>
    <w:qFormat/>
    <w:uiPriority w:val="0"/>
    <w:pPr>
      <w:spacing w:before="0" w:beforeAutospacing="1" w:after="0" w:afterAutospacing="1"/>
      <w:jc w:val="left"/>
      <w:outlineLvl w:val="1"/>
    </w:pPr>
    <w:rPr>
      <w:rFonts w:hint="eastAsia" w:ascii="宋体" w:hAnsi="宋体" w:eastAsia="楷体" w:cs="宋体"/>
      <w:b/>
      <w:bCs/>
      <w:sz w:val="32"/>
      <w:szCs w:val="36"/>
      <w:lang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2 Char"/>
    <w:link w:val="3"/>
    <w:qFormat/>
    <w:uiPriority w:val="0"/>
    <w:rPr>
      <w:rFonts w:hint="eastAsia" w:ascii="宋体" w:hAnsi="宋体" w:eastAsia="楷体" w:cs="宋体"/>
      <w:b/>
      <w:bCs/>
      <w:kern w:val="0"/>
      <w:sz w:val="32"/>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2690</Words>
  <Characters>2761</Characters>
  <Lines>0</Lines>
  <Paragraphs>0</Paragraphs>
  <TotalTime>4</TotalTime>
  <ScaleCrop>false</ScaleCrop>
  <LinksUpToDate>false</LinksUpToDate>
  <CharactersWithSpaces>2835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2023-02-02T06:56:00Z</dcterms:created>
  <dc:creator>Administrator</dc:creator>
  <cp:lastModifiedBy>Administrator</cp:lastModifiedBy>
  <cp:lastPrinted>2023-03-28T06:37:40Z</cp:lastPrinted>
  <dcterms:modified xsi:type="dcterms:W3CDTF">2023-03-28T06:39:45Z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C99FCCED06834F0E8857C36722899973</vt:lpwstr>
  </property>
</Properties>
</file>