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</w:t>
      </w:r>
      <w:r>
        <w:rPr>
          <w:rFonts w:hint="eastAsia" w:ascii="黑体" w:hAnsi="宋体" w:eastAsia="黑体" w:cs="宋体"/>
          <w:sz w:val="28"/>
          <w:szCs w:val="28"/>
        </w:rPr>
        <w:t>4</w:t>
      </w:r>
      <w:r>
        <w:rPr>
          <w:rFonts w:hint="eastAsia" w:ascii="黑体" w:hAnsi="黑体" w:eastAsia="黑体" w:cs="宋体"/>
          <w:sz w:val="28"/>
          <w:szCs w:val="28"/>
        </w:rPr>
        <w:t>：</w:t>
      </w:r>
    </w:p>
    <w:p>
      <w:pPr>
        <w:spacing w:line="500" w:lineRule="exact"/>
        <w:rPr>
          <w:rFonts w:hint="eastAsia" w:ascii="方正小标宋简体" w:hAnsi="等线" w:eastAsia="宋体" w:cs="Times New Roman"/>
          <w:sz w:val="21"/>
          <w:szCs w:val="21"/>
        </w:rPr>
      </w:pPr>
      <w:r>
        <w:rPr>
          <w:rFonts w:ascii="方正小标宋简体" w:hAnsi="等线" w:eastAsia="宋体" w:cs="Times New Roman"/>
          <w:sz w:val="21"/>
          <w:szCs w:val="21"/>
        </w:rPr>
        <w:t xml:space="preserve"> 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方正小标宋_GBK" w:hAnsi="仿宋" w:eastAsia="宋体" w:cs="宋体"/>
          <w:sz w:val="36"/>
          <w:szCs w:val="36"/>
          <w:lang w:val="en-US" w:eastAsia="zh-CN"/>
        </w:rPr>
        <w:t>2023</w:t>
      </w:r>
      <w:r>
        <w:rPr>
          <w:rFonts w:ascii="方正小标宋_GBK" w:hAnsi="方正小标宋_GBK" w:eastAsia="宋体" w:cs="宋体"/>
          <w:sz w:val="36"/>
          <w:szCs w:val="36"/>
        </w:rPr>
        <w:t>年度</w:t>
      </w:r>
      <w:r>
        <w:rPr>
          <w:rFonts w:hint="eastAsia" w:ascii="方正小标宋_GBK" w:hAnsi="方正小标宋_GBK" w:eastAsia="宋体" w:cs="宋体"/>
          <w:sz w:val="36"/>
          <w:szCs w:val="36"/>
          <w:lang w:val="en-US" w:eastAsia="zh-CN"/>
        </w:rPr>
        <w:t>交通运输局</w:t>
      </w:r>
      <w:r>
        <w:rPr>
          <w:rFonts w:ascii="方正小标宋_GBK" w:hAnsi="方正小标宋_GBK" w:eastAsia="宋体" w:cs="宋体"/>
          <w:sz w:val="36"/>
          <w:szCs w:val="36"/>
        </w:rPr>
        <w:t>部门整体绩效自评结果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一、自评结论</w:t>
      </w:r>
    </w:p>
    <w:p>
      <w:pPr>
        <w:ind w:firstLine="640" w:firstLineChars="200"/>
        <w:rPr>
          <w:rFonts w:ascii="楷体_GB2312" w:hAnsi="楷体_GB2312" w:cs="Times New Roman"/>
          <w:sz w:val="32"/>
          <w:szCs w:val="32"/>
        </w:rPr>
      </w:pPr>
      <w:r>
        <w:rPr>
          <w:rFonts w:ascii="楷体_GB2312" w:hAnsi="楷体_GB2312" w:cs="Times New Roman"/>
          <w:sz w:val="32"/>
          <w:szCs w:val="32"/>
        </w:rPr>
        <w:t>（一）部门整体绩效自评得分</w:t>
      </w:r>
    </w:p>
    <w:p>
      <w:pPr>
        <w:ind w:firstLine="640" w:firstLineChars="200"/>
        <w:rPr>
          <w:rFonts w:hint="eastAsia" w:ascii="楷体_GB2312" w:hAnsi="楷体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崇阳县交通运输局部门整体绩效自评9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分。</w:t>
      </w:r>
    </w:p>
    <w:p>
      <w:pPr>
        <w:ind w:firstLine="640" w:firstLineChars="200"/>
        <w:rPr>
          <w:rFonts w:ascii="楷体_GB2312" w:hAnsi="楷体" w:cs="Times New Roman"/>
          <w:sz w:val="32"/>
          <w:szCs w:val="32"/>
        </w:rPr>
      </w:pPr>
      <w:r>
        <w:rPr>
          <w:rFonts w:ascii="楷体_GB2312" w:hAnsi="楷体_GB2312" w:cs="Times New Roman"/>
          <w:sz w:val="32"/>
          <w:szCs w:val="32"/>
        </w:rPr>
        <w:t>（二）部门整体绩效目标完成情况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1.执行率情况。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分值20分，自评得分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完成的绩效目标。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设定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个年度绩效目标均已完成。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（三）存在的问题和原因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2023年度项目预算通过调整与当年执行数相符，年度绩效目标完成较好。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（四）下一步拟改进措施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1、加强编制预算管理，合理科学编制部门预算，合理预计基建项目预算，严格按预算批复的资金用途使用资金。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2、全面落实普通公路地方债资金额度和地方配套资金，多渠道积极筹措资金，取得各级财政的资金支持，协调相关部门落实加快交通发展各项政策措施。</w:t>
      </w:r>
    </w:p>
    <w:p>
      <w:pPr>
        <w:ind w:firstLine="640" w:firstLineChars="200"/>
        <w:rPr>
          <w:rFonts w:ascii="楷体_GB2312" w:hAnsi="楷体_GB2312" w:cs="Times New Roman"/>
          <w:sz w:val="32"/>
          <w:szCs w:val="32"/>
        </w:rPr>
      </w:pPr>
      <w:r>
        <w:rPr>
          <w:rFonts w:ascii="楷体_GB2312" w:hAnsi="楷体_GB2312" w:cs="Times New Roman"/>
          <w:sz w:val="32"/>
          <w:szCs w:val="32"/>
        </w:rPr>
        <w:t>附件：</w:t>
      </w:r>
      <w:r>
        <w:rPr>
          <w:rFonts w:hint="eastAsia" w:ascii="楷体_GB2312" w:hAnsi="楷体_GB2312" w:cs="Times New Roman"/>
          <w:sz w:val="32"/>
          <w:szCs w:val="32"/>
          <w:lang w:val="en-US" w:eastAsia="zh-CN"/>
        </w:rPr>
        <w:t>2023</w:t>
      </w:r>
      <w:r>
        <w:rPr>
          <w:rFonts w:ascii="楷体_GB2312" w:hAnsi="楷体_GB2312" w:cs="Times New Roman"/>
          <w:sz w:val="32"/>
          <w:szCs w:val="32"/>
        </w:rPr>
        <w:t>年度</w:t>
      </w:r>
      <w:r>
        <w:rPr>
          <w:rFonts w:hint="eastAsia" w:ascii="楷体_GB2312" w:hAnsi="楷体_GB2312" w:cs="Times New Roman"/>
          <w:sz w:val="32"/>
          <w:szCs w:val="32"/>
          <w:lang w:val="en-US" w:eastAsia="zh-CN"/>
        </w:rPr>
        <w:t>交通运输</w:t>
      </w:r>
      <w:r>
        <w:rPr>
          <w:rFonts w:ascii="楷体_GB2312" w:hAnsi="楷体_GB2312" w:cs="Times New Roman"/>
          <w:sz w:val="32"/>
          <w:szCs w:val="32"/>
        </w:rPr>
        <w:t>部门整体部门自评表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二、佐证材料</w:t>
      </w:r>
    </w:p>
    <w:p>
      <w:pPr>
        <w:ind w:firstLine="640" w:firstLineChars="200"/>
        <w:rPr>
          <w:rFonts w:hint="eastAsia" w:ascii="楷体_GB2312" w:hAnsi="楷体" w:cs="Times New Roman"/>
          <w:sz w:val="32"/>
          <w:szCs w:val="32"/>
        </w:rPr>
      </w:pPr>
      <w:r>
        <w:rPr>
          <w:rFonts w:ascii="楷体_GB2312" w:hAnsi="楷体_GB2312" w:cs="Times New Roman"/>
          <w:sz w:val="32"/>
          <w:szCs w:val="32"/>
        </w:rPr>
        <w:t>（一）基本情况</w:t>
      </w:r>
    </w:p>
    <w:p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1.单位基本情况及主要职责。</w:t>
      </w:r>
    </w:p>
    <w:p>
      <w:pPr>
        <w:spacing w:line="360" w:lineRule="auto"/>
        <w:ind w:firstLine="640" w:firstLineChars="200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崇阳县交通运输局机关是财政全额拨款的行政单位，下设副科级事业机构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个：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崇阳县公路事业发展中心、崇阳县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物流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事业发展中心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崇阳县道路运输事业发展中心、崇阳县交通运输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综合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执法大队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崇阳县农村公路事务发展中心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股级单位8个：崇阳县港航事业发展中心、崇阳县公路养护事务管理中心以及6个交通分局。崇阳县农村公路事务发展中心、崇阳县公路养护事务管理中心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独立核算的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差额拨款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事业单位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崇阳县公路事业发展中心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崇阳县道路运输事业发展中心、崇阳县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综合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执法大队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崇阳县港航事业发展中心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属财政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额拨款单位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崇阳县物流事业发展中心为定额拨款单位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6个交通分局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为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自收自支单位。</w:t>
      </w:r>
    </w:p>
    <w:p>
      <w:pPr>
        <w:widowControl/>
        <w:tabs>
          <w:tab w:val="left" w:pos="625"/>
        </w:tabs>
        <w:spacing w:line="360" w:lineRule="auto"/>
        <w:ind w:firstLine="627" w:firstLineChars="196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崇阳县交通运输局宗旨和业务范围是：贯彻执行国家有关交通的方针、政策、法规，管理全县公路、交通基础设施建设，负责全县公路、交通工程的招投标管理和工程质量管理。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主要职责是：组织拟订全县交通运输发展战略、产业政策和规范性文件，指导全县交通运输行政执法和行业有关体制改革工作；负责全县交通运输行业管理，承担协调服务邮政等工作；拟订全县公路、水路等行业发展规划、政策和措施并监督实施；负责全县公路、水路运输市场监督，制定有关政策和运营规范并监督实施；负责全县公路、水路建设和养护市场监管；拟订全县公路、水路固定资产投资规模和建设项目，编制年度计划和县财政性资金预算意见，按县政府规定权限审查、审批交通固定资产投资项目；指导全县公路、水路运输应急管理工作，指导重点干线公路网的运行监测，负责全县地方高速公路集中统一管理；指导全县交通运输信息化建设和全县公路、水路行业科技、环保、节能减排工作；负责局机关和下属单位人事、劳资、机构编制管理，指导交通行业职业教育和职工队伍建设。</w:t>
      </w:r>
    </w:p>
    <w:p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2.年度部门整体绩效目标。</w:t>
      </w:r>
    </w:p>
    <w:p>
      <w:pPr>
        <w:widowControl/>
        <w:spacing w:line="520" w:lineRule="exact"/>
        <w:ind w:firstLine="640" w:firstLineChars="200"/>
        <w:outlineLvl w:val="3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根据部门整体支出绩效评价要求，我局年度绩效目标主要结合交通路网建设规划、实施方案及实施情况进行。</w:t>
      </w:r>
    </w:p>
    <w:p>
      <w:pPr>
        <w:widowControl/>
        <w:spacing w:line="520" w:lineRule="exact"/>
        <w:ind w:firstLine="640" w:firstLineChars="200"/>
        <w:outlineLvl w:val="3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(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)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、争取政策支持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推进项目建设。包括建设投资规模、建设投资项目数量、建设资金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工程投资机会完成情况等。</w:t>
      </w:r>
    </w:p>
    <w:p>
      <w:pPr>
        <w:widowControl/>
        <w:spacing w:line="520" w:lineRule="exact"/>
        <w:ind w:firstLine="640" w:firstLineChars="200"/>
        <w:outlineLvl w:val="3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、推进智慧养护，提升管养水平。包括公路维护养护及时情况，农村公路检测完成情况，检测审查工作质量情况等。</w:t>
      </w:r>
    </w:p>
    <w:p>
      <w:pPr>
        <w:widowControl/>
        <w:spacing w:line="520" w:lineRule="exact"/>
        <w:ind w:firstLine="640" w:firstLineChars="200"/>
        <w:outlineLvl w:val="3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、加强安全管理，确保交通稳定。包括开展安全隐患排查情况、安全隐患整改情况、查处超限超载车辆情况和违法违规营运车辆情况等等。</w:t>
      </w:r>
    </w:p>
    <w:p>
      <w:pPr>
        <w:ind w:firstLine="640" w:firstLineChars="200"/>
        <w:rPr>
          <w:rFonts w:hint="eastAsia" w:ascii="楷体_GB2312" w:hAnsi="楷体" w:cs="Times New Roman"/>
          <w:sz w:val="32"/>
          <w:szCs w:val="32"/>
        </w:rPr>
      </w:pPr>
      <w:r>
        <w:rPr>
          <w:rFonts w:ascii="楷体_GB2312" w:hAnsi="楷体_GB2312" w:cs="Times New Roman"/>
          <w:sz w:val="32"/>
          <w:szCs w:val="32"/>
        </w:rPr>
        <w:t>（二）部门自评工作开展情况</w:t>
      </w:r>
    </w:p>
    <w:p>
      <w:pPr>
        <w:widowControl/>
        <w:spacing w:line="390" w:lineRule="atLeast"/>
        <w:ind w:firstLine="600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1.前期准备</w:t>
      </w:r>
    </w:p>
    <w:p>
      <w:pPr>
        <w:widowControl/>
        <w:spacing w:line="390" w:lineRule="atLeast"/>
        <w:ind w:firstLine="624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为了顺利推进本次自评工作，根据绩效自评的要求，我局于202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月1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日召开了项目和部门整体支出绩效自评工作的布置会，明确了责任分工、评价指标体系、评价方式和评价程序。</w:t>
      </w:r>
    </w:p>
    <w:p>
      <w:pPr>
        <w:widowControl/>
        <w:spacing w:line="390" w:lineRule="atLeast"/>
        <w:ind w:firstLine="624"/>
        <w:jc w:val="lef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2.组织实施</w:t>
      </w:r>
    </w:p>
    <w:p>
      <w:pPr>
        <w:widowControl/>
        <w:spacing w:line="390" w:lineRule="atLeast"/>
        <w:ind w:firstLine="624"/>
        <w:jc w:val="left"/>
        <w:rPr>
          <w:rFonts w:ascii="仿宋_GB2312" w:hAnsi="Times New Roman" w:eastAsia="等线" w:cs="Times New Roma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本次部门整体支出绩效自评做到自评全覆盖，采用了审阅项目资料、现场评价、对比分析、定量与定性分析、综合评判相结合的绩效评价方法。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为构建尽量切合实际、能够实施操作、评价结果趋于客观公正的绩效评价指标体系，绩效自评工作组在学习相关文件精神、收集基础资料、分析相关要求的基础上，制定了202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年度部门整体支出绩效自评指标体系。制定的指标体系充分征求了各相关部门意见，并经沟通讨论后基本达到了评价指标全面、评价要点切合实际、评分标准有据可依、评价操作可行的要求。</w:t>
      </w:r>
    </w:p>
    <w:p>
      <w:pPr>
        <w:ind w:firstLine="640" w:firstLineChars="200"/>
        <w:rPr>
          <w:rFonts w:hint="eastAsia" w:ascii="楷体_GB2312" w:hAnsi="楷体" w:cs="Times New Roman"/>
          <w:sz w:val="32"/>
          <w:szCs w:val="32"/>
        </w:rPr>
      </w:pPr>
      <w:r>
        <w:rPr>
          <w:rFonts w:ascii="楷体_GB2312" w:hAnsi="楷体_GB2312" w:cs="Times New Roman"/>
          <w:sz w:val="32"/>
          <w:szCs w:val="32"/>
        </w:rPr>
        <w:t>（三）绩效目标完成情况分析</w:t>
      </w:r>
    </w:p>
    <w:p>
      <w:pPr>
        <w:ind w:firstLine="640" w:firstLineChars="200"/>
        <w:outlineLvl w:val="0"/>
        <w:rPr>
          <w:rFonts w:hint="eastAsia" w:ascii="仿宋_GB2312" w:hAnsi="楷体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楷体_GB2312" w:eastAsia="仿宋_GB2312" w:cs="Times New Roman"/>
          <w:color w:val="000000"/>
          <w:sz w:val="32"/>
          <w:szCs w:val="32"/>
        </w:rPr>
        <w:t>1.预算执行情况分析。</w:t>
      </w:r>
    </w:p>
    <w:p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全年预算收支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55950.03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全年预算执行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55950.03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万元，其中基本支出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713.34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万元；项目支出预算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55236.69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万元，预算执行率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%。</w:t>
      </w:r>
    </w:p>
    <w:p>
      <w:pPr>
        <w:ind w:firstLine="640" w:firstLineChars="200"/>
        <w:outlineLvl w:val="0"/>
        <w:rPr>
          <w:rFonts w:hint="eastAsia" w:ascii="仿宋_GB2312" w:hAnsi="楷体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楷体_GB2312" w:eastAsia="仿宋_GB2312" w:cs="Times New Roman"/>
          <w:color w:val="000000"/>
          <w:sz w:val="32"/>
          <w:szCs w:val="32"/>
        </w:rPr>
        <w:t>2.绩效目标完成情况分析。</w:t>
      </w:r>
    </w:p>
    <w:p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（1）产出指标完成情况分析。</w:t>
      </w:r>
    </w:p>
    <w:p>
      <w:pPr>
        <w:widowControl/>
        <w:spacing w:line="390" w:lineRule="atLeast"/>
        <w:ind w:firstLine="624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产出指标分值40分，自评得分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分。</w:t>
      </w:r>
    </w:p>
    <w:p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（2）效益指标完成情况分析。</w:t>
      </w:r>
    </w:p>
    <w:p>
      <w:pPr>
        <w:widowControl/>
        <w:spacing w:line="390" w:lineRule="atLeast"/>
        <w:ind w:firstLine="624"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效益指标分值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分，自评得分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分。</w:t>
      </w:r>
    </w:p>
    <w:p>
      <w:pPr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（3）满意度指标完成情况分析。</w:t>
      </w:r>
    </w:p>
    <w:p>
      <w:pPr>
        <w:ind w:firstLine="640" w:firstLineChars="200"/>
        <w:rPr>
          <w:rFonts w:hint="eastAsia" w:ascii="Times New Roman" w:hAnsi="Times New Roman" w:cs="Times New Roma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满意度指标分值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分，自评得分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分。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ZjM3MmI3YzM5ZjhlZTZkNjkwZGFkNjU2YmVhY2EifQ=="/>
  </w:docVars>
  <w:rsids>
    <w:rsidRoot w:val="23326894"/>
    <w:rsid w:val="233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2024-09-25T08:40:00Z</dcterms:created>
  <dc:creator>兔子家的萝卜</dc:creator>
  <cp:lastModifiedBy>兔子家的萝卜</cp:lastModifiedBy>
  <dcterms:modified xsi:type="dcterms:W3CDTF">2024-09-25T08:41:31Z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70BFAFF917AC415FB01BFB65E6029783</vt:lpwstr>
  </property>
</Properties>
</file>