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E754C">
      <w:pPr>
        <w:widowControl w:val="0"/>
        <w:kinsoku/>
        <w:autoSpaceDE/>
        <w:autoSpaceDN/>
        <w:adjustRightInd/>
        <w:snapToGrid/>
        <w:spacing w:line="360" w:lineRule="auto"/>
        <w:jc w:val="center"/>
        <w:textAlignment w:val="auto"/>
        <w:rPr>
          <w:rFonts w:hint="eastAsia" w:ascii="方正小标宋简体" w:hAnsi="方正小标宋简体" w:eastAsia="方正小标宋简体" w:cs="方正小标宋简体"/>
          <w:snapToGrid/>
          <w:kern w:val="2"/>
          <w:sz w:val="36"/>
          <w:szCs w:val="36"/>
          <w:lang w:eastAsia="zh-CN"/>
        </w:rPr>
      </w:pPr>
    </w:p>
    <w:p w14:paraId="4FCEE82D">
      <w:pPr>
        <w:widowControl w:val="0"/>
        <w:kinsoku/>
        <w:autoSpaceDE/>
        <w:autoSpaceDN/>
        <w:adjustRightInd/>
        <w:snapToGrid/>
        <w:spacing w:line="360" w:lineRule="auto"/>
        <w:jc w:val="center"/>
        <w:textAlignment w:val="auto"/>
        <w:rPr>
          <w:rFonts w:hint="eastAsia" w:ascii="方正小标宋简体" w:hAnsi="方正小标宋简体" w:eastAsia="方正小标宋简体" w:cs="方正小标宋简体"/>
          <w:snapToGrid/>
          <w:kern w:val="2"/>
          <w:sz w:val="36"/>
          <w:szCs w:val="36"/>
          <w:lang w:eastAsia="zh-CN"/>
        </w:rPr>
      </w:pPr>
      <w:r>
        <w:rPr>
          <w:rFonts w:hint="eastAsia" w:ascii="方正小标宋简体" w:hAnsi="方正小标宋简体" w:eastAsia="方正小标宋简体" w:cs="方正小标宋简体"/>
          <w:snapToGrid/>
          <w:kern w:val="2"/>
          <w:sz w:val="36"/>
          <w:szCs w:val="36"/>
          <w:lang w:eastAsia="zh-CN"/>
        </w:rPr>
        <w:t>崇阳县残联 202</w:t>
      </w:r>
      <w:r>
        <w:rPr>
          <w:rFonts w:hint="eastAsia" w:ascii="方正小标宋简体" w:hAnsi="方正小标宋简体" w:eastAsia="方正小标宋简体" w:cs="方正小标宋简体"/>
          <w:snapToGrid/>
          <w:kern w:val="2"/>
          <w:sz w:val="36"/>
          <w:szCs w:val="36"/>
          <w:lang w:val="en-US" w:eastAsia="zh-CN"/>
        </w:rPr>
        <w:t>3</w:t>
      </w:r>
      <w:r>
        <w:rPr>
          <w:rFonts w:hint="eastAsia" w:ascii="方正小标宋简体" w:hAnsi="方正小标宋简体" w:eastAsia="方正小标宋简体" w:cs="方正小标宋简体"/>
          <w:snapToGrid/>
          <w:kern w:val="2"/>
          <w:sz w:val="36"/>
          <w:szCs w:val="36"/>
          <w:lang w:eastAsia="zh-CN"/>
        </w:rPr>
        <w:t xml:space="preserve"> 年度部门决算</w:t>
      </w:r>
    </w:p>
    <w:p w14:paraId="63DF00B0">
      <w:pPr>
        <w:keepNext w:val="0"/>
        <w:keepLines w:val="0"/>
        <w:pageBreakBefore w:val="0"/>
        <w:widowControl w:val="0"/>
        <w:kinsoku/>
        <w:wordWrap/>
        <w:overflowPunct/>
        <w:topLinePunct/>
        <w:autoSpaceDE w:val="0"/>
        <w:autoSpaceDN/>
        <w:bidi w:val="0"/>
        <w:adjustRightInd w:val="0"/>
        <w:snapToGrid w:val="0"/>
        <w:spacing w:line="297" w:lineRule="auto"/>
        <w:textAlignment w:val="baseline"/>
        <w:rPr>
          <w:rFonts w:ascii="Arial"/>
          <w:spacing w:val="0"/>
          <w:sz w:val="21"/>
        </w:rPr>
      </w:pPr>
    </w:p>
    <w:p w14:paraId="6657F2E0">
      <w:pPr>
        <w:keepNext w:val="0"/>
        <w:keepLines w:val="0"/>
        <w:pageBreakBefore w:val="0"/>
        <w:widowControl w:val="0"/>
        <w:kinsoku/>
        <w:wordWrap/>
        <w:overflowPunct/>
        <w:topLinePunct/>
        <w:autoSpaceDE w:val="0"/>
        <w:autoSpaceDN/>
        <w:bidi w:val="0"/>
        <w:adjustRightInd w:val="0"/>
        <w:snapToGrid w:val="0"/>
        <w:spacing w:line="297" w:lineRule="auto"/>
        <w:textAlignment w:val="baseline"/>
        <w:rPr>
          <w:rFonts w:ascii="Arial"/>
          <w:spacing w:val="0"/>
          <w:sz w:val="21"/>
        </w:rPr>
      </w:pPr>
    </w:p>
    <w:p w14:paraId="0DC25EA7">
      <w:pPr>
        <w:keepNext w:val="0"/>
        <w:keepLines w:val="0"/>
        <w:pageBreakBefore w:val="0"/>
        <w:widowControl w:val="0"/>
        <w:kinsoku/>
        <w:wordWrap/>
        <w:overflowPunct/>
        <w:topLinePunct/>
        <w:autoSpaceDE w:val="0"/>
        <w:autoSpaceDN/>
        <w:bidi w:val="0"/>
        <w:adjustRightInd w:val="0"/>
        <w:snapToGrid w:val="0"/>
        <w:spacing w:before="113" w:line="227" w:lineRule="auto"/>
        <w:ind w:left="3826"/>
        <w:textAlignment w:val="baseline"/>
        <w:outlineLvl w:val="0"/>
        <w:rPr>
          <w:rFonts w:ascii="黑体" w:hAnsi="黑体" w:eastAsia="黑体" w:cs="黑体"/>
          <w:spacing w:val="0"/>
          <w:sz w:val="35"/>
          <w:szCs w:val="35"/>
        </w:rPr>
      </w:pPr>
      <w:r>
        <w:rPr>
          <w:rFonts w:ascii="黑体" w:hAnsi="黑体" w:eastAsia="黑体" w:cs="黑体"/>
          <w:spacing w:val="0"/>
          <w:sz w:val="35"/>
          <w:szCs w:val="35"/>
        </w:rPr>
        <w:t>目    录</w:t>
      </w:r>
    </w:p>
    <w:p w14:paraId="77E607D8">
      <w:pPr>
        <w:keepNext w:val="0"/>
        <w:keepLines w:val="0"/>
        <w:pageBreakBefore w:val="0"/>
        <w:widowControl w:val="0"/>
        <w:kinsoku/>
        <w:wordWrap/>
        <w:overflowPunct/>
        <w:topLinePunct/>
        <w:autoSpaceDE w:val="0"/>
        <w:autoSpaceDN/>
        <w:bidi w:val="0"/>
        <w:adjustRightInd w:val="0"/>
        <w:snapToGrid w:val="0"/>
        <w:spacing w:line="354" w:lineRule="auto"/>
        <w:textAlignment w:val="baseline"/>
        <w:rPr>
          <w:rFonts w:ascii="Arial"/>
          <w:spacing w:val="0"/>
          <w:sz w:val="21"/>
        </w:rPr>
      </w:pPr>
    </w:p>
    <w:p w14:paraId="4BF8CCE0">
      <w:pPr>
        <w:keepNext w:val="0"/>
        <w:keepLines w:val="0"/>
        <w:pageBreakBefore w:val="0"/>
        <w:widowControl w:val="0"/>
        <w:kinsoku/>
        <w:wordWrap/>
        <w:overflowPunct/>
        <w:topLinePunct/>
        <w:autoSpaceDE w:val="0"/>
        <w:autoSpaceDN/>
        <w:bidi w:val="0"/>
        <w:adjustRightInd w:val="0"/>
        <w:snapToGrid w:val="0"/>
        <w:spacing w:before="100" w:line="222"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第一部分 崇阳县残联概况</w:t>
      </w:r>
    </w:p>
    <w:p w14:paraId="49DE3F1C">
      <w:pPr>
        <w:keepNext w:val="0"/>
        <w:keepLines w:val="0"/>
        <w:pageBreakBefore w:val="0"/>
        <w:widowControl w:val="0"/>
        <w:kinsoku/>
        <w:wordWrap/>
        <w:overflowPunct/>
        <w:topLinePunct/>
        <w:autoSpaceDE w:val="0"/>
        <w:autoSpaceDN/>
        <w:bidi w:val="0"/>
        <w:adjustRightInd w:val="0"/>
        <w:snapToGrid w:val="0"/>
        <w:spacing w:line="283" w:lineRule="auto"/>
        <w:textAlignment w:val="baseline"/>
        <w:rPr>
          <w:rFonts w:ascii="Arial"/>
          <w:spacing w:val="0"/>
          <w:sz w:val="21"/>
        </w:rPr>
      </w:pPr>
    </w:p>
    <w:p w14:paraId="08F5D4CF">
      <w:pPr>
        <w:pStyle w:val="2"/>
        <w:keepNext w:val="0"/>
        <w:keepLines w:val="0"/>
        <w:pageBreakBefore w:val="0"/>
        <w:widowControl w:val="0"/>
        <w:kinsoku/>
        <w:wordWrap/>
        <w:overflowPunct/>
        <w:topLinePunct/>
        <w:autoSpaceDE w:val="0"/>
        <w:autoSpaceDN/>
        <w:bidi w:val="0"/>
        <w:adjustRightInd w:val="0"/>
        <w:snapToGrid w:val="0"/>
        <w:spacing w:before="101" w:line="223" w:lineRule="auto"/>
        <w:ind w:left="672"/>
        <w:textAlignment w:val="baseline"/>
        <w:rPr>
          <w:rFonts w:ascii="宋体" w:hAnsi="宋体" w:eastAsia="宋体" w:cs="宋体"/>
          <w:spacing w:val="0"/>
        </w:rPr>
      </w:pPr>
      <w:r>
        <w:rPr>
          <w:rFonts w:ascii="宋体" w:hAnsi="宋体" w:eastAsia="宋体" w:cs="宋体"/>
          <w:spacing w:val="0"/>
        </w:rPr>
        <w:t>一、</w:t>
      </w:r>
      <w:r>
        <w:rPr>
          <w:spacing w:val="0"/>
        </w:rPr>
        <w:t>部门</w:t>
      </w:r>
      <w:r>
        <w:rPr>
          <w:rFonts w:ascii="宋体" w:hAnsi="宋体" w:eastAsia="宋体" w:cs="宋体"/>
          <w:spacing w:val="0"/>
        </w:rPr>
        <w:t>主</w:t>
      </w:r>
      <w:r>
        <w:rPr>
          <w:spacing w:val="0"/>
        </w:rPr>
        <w:t>要</w:t>
      </w:r>
      <w:r>
        <w:rPr>
          <w:rFonts w:ascii="宋体" w:hAnsi="宋体" w:eastAsia="宋体" w:cs="宋体"/>
          <w:spacing w:val="0"/>
        </w:rPr>
        <w:t>职责</w:t>
      </w:r>
    </w:p>
    <w:p w14:paraId="67D5C39E">
      <w:pPr>
        <w:pStyle w:val="2"/>
        <w:keepNext w:val="0"/>
        <w:keepLines w:val="0"/>
        <w:pageBreakBefore w:val="0"/>
        <w:widowControl w:val="0"/>
        <w:kinsoku/>
        <w:wordWrap/>
        <w:overflowPunct/>
        <w:topLinePunct/>
        <w:autoSpaceDE w:val="0"/>
        <w:autoSpaceDN/>
        <w:bidi w:val="0"/>
        <w:adjustRightInd w:val="0"/>
        <w:snapToGrid w:val="0"/>
        <w:spacing w:before="247" w:line="224" w:lineRule="auto"/>
        <w:ind w:left="672"/>
        <w:textAlignment w:val="baseline"/>
        <w:rPr>
          <w:spacing w:val="0"/>
        </w:rPr>
      </w:pPr>
      <w:r>
        <w:rPr>
          <w:rFonts w:ascii="宋体" w:hAnsi="宋体" w:eastAsia="宋体" w:cs="宋体"/>
          <w:spacing w:val="0"/>
        </w:rPr>
        <w:t>二、机构设置</w:t>
      </w:r>
      <w:r>
        <w:rPr>
          <w:spacing w:val="0"/>
        </w:rPr>
        <w:t>情况</w:t>
      </w:r>
    </w:p>
    <w:p w14:paraId="1769A1AE">
      <w:pPr>
        <w:keepNext w:val="0"/>
        <w:keepLines w:val="0"/>
        <w:pageBreakBefore w:val="0"/>
        <w:widowControl w:val="0"/>
        <w:kinsoku/>
        <w:wordWrap/>
        <w:overflowPunct/>
        <w:topLinePunct/>
        <w:autoSpaceDE w:val="0"/>
        <w:autoSpaceDN/>
        <w:bidi w:val="0"/>
        <w:adjustRightInd w:val="0"/>
        <w:snapToGrid w:val="0"/>
        <w:spacing w:line="244" w:lineRule="auto"/>
        <w:textAlignment w:val="baseline"/>
        <w:rPr>
          <w:rFonts w:ascii="Arial"/>
          <w:spacing w:val="0"/>
          <w:sz w:val="21"/>
        </w:rPr>
      </w:pPr>
    </w:p>
    <w:p w14:paraId="615BFD46">
      <w:pPr>
        <w:keepNext w:val="0"/>
        <w:keepLines w:val="0"/>
        <w:pageBreakBefore w:val="0"/>
        <w:widowControl w:val="0"/>
        <w:kinsoku/>
        <w:wordWrap/>
        <w:overflowPunct/>
        <w:topLinePunct/>
        <w:autoSpaceDE w:val="0"/>
        <w:autoSpaceDN/>
        <w:bidi w:val="0"/>
        <w:adjustRightInd w:val="0"/>
        <w:snapToGrid w:val="0"/>
        <w:spacing w:line="245" w:lineRule="auto"/>
        <w:textAlignment w:val="baseline"/>
        <w:rPr>
          <w:rFonts w:ascii="Arial"/>
          <w:spacing w:val="0"/>
          <w:sz w:val="13"/>
          <w:szCs w:val="13"/>
        </w:rPr>
      </w:pPr>
    </w:p>
    <w:p w14:paraId="65FB9849">
      <w:pPr>
        <w:keepNext w:val="0"/>
        <w:keepLines w:val="0"/>
        <w:pageBreakBefore w:val="0"/>
        <w:widowControl w:val="0"/>
        <w:kinsoku/>
        <w:wordWrap/>
        <w:overflowPunct/>
        <w:topLinePunct/>
        <w:autoSpaceDE w:val="0"/>
        <w:autoSpaceDN/>
        <w:bidi w:val="0"/>
        <w:adjustRightInd w:val="0"/>
        <w:snapToGrid w:val="0"/>
        <w:spacing w:before="101" w:line="222"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第二部分 崇阳县残联2022</w:t>
      </w:r>
      <w:r>
        <w:rPr>
          <w:rFonts w:hint="eastAsia" w:ascii="黑体" w:hAnsi="黑体" w:eastAsia="黑体" w:cs="黑体"/>
          <w:spacing w:val="0"/>
          <w:sz w:val="31"/>
          <w:szCs w:val="31"/>
          <w:lang w:val="en-US" w:eastAsia="zh-CN"/>
        </w:rPr>
        <w:t>3</w:t>
      </w:r>
      <w:r>
        <w:rPr>
          <w:rFonts w:ascii="黑体" w:hAnsi="黑体" w:eastAsia="黑体" w:cs="黑体"/>
          <w:spacing w:val="0"/>
          <w:sz w:val="31"/>
          <w:szCs w:val="31"/>
        </w:rPr>
        <w:t>年度部门决算表</w:t>
      </w:r>
    </w:p>
    <w:p w14:paraId="78FBFB94">
      <w:pPr>
        <w:keepNext w:val="0"/>
        <w:keepLines w:val="0"/>
        <w:pageBreakBefore w:val="0"/>
        <w:widowControl w:val="0"/>
        <w:kinsoku/>
        <w:wordWrap/>
        <w:overflowPunct/>
        <w:topLinePunct/>
        <w:autoSpaceDE w:val="0"/>
        <w:autoSpaceDN/>
        <w:bidi w:val="0"/>
        <w:adjustRightInd w:val="0"/>
        <w:snapToGrid w:val="0"/>
        <w:spacing w:line="388" w:lineRule="auto"/>
        <w:textAlignment w:val="baseline"/>
        <w:rPr>
          <w:rFonts w:ascii="Arial"/>
          <w:spacing w:val="0"/>
          <w:sz w:val="10"/>
          <w:szCs w:val="10"/>
        </w:rPr>
      </w:pPr>
    </w:p>
    <w:p w14:paraId="7AF0A692">
      <w:pPr>
        <w:pStyle w:val="2"/>
        <w:keepNext w:val="0"/>
        <w:keepLines w:val="0"/>
        <w:pageBreakBefore w:val="0"/>
        <w:widowControl w:val="0"/>
        <w:kinsoku/>
        <w:wordWrap/>
        <w:overflowPunct/>
        <w:topLinePunct/>
        <w:autoSpaceDE w:val="0"/>
        <w:autoSpaceDN/>
        <w:bidi w:val="0"/>
        <w:adjustRightInd w:val="0"/>
        <w:snapToGrid w:val="0"/>
        <w:spacing w:before="102"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一、收入支出决算总表</w:t>
      </w:r>
    </w:p>
    <w:p w14:paraId="36B3AFF0">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二、收入决算表</w:t>
      </w:r>
    </w:p>
    <w:p w14:paraId="5F2DB0A2">
      <w:pPr>
        <w:pStyle w:val="2"/>
        <w:keepNext w:val="0"/>
        <w:keepLines w:val="0"/>
        <w:pageBreakBefore w:val="0"/>
        <w:widowControl w:val="0"/>
        <w:kinsoku/>
        <w:wordWrap/>
        <w:overflowPunct/>
        <w:topLinePunct/>
        <w:autoSpaceDE w:val="0"/>
        <w:autoSpaceDN/>
        <w:bidi w:val="0"/>
        <w:adjustRightInd w:val="0"/>
        <w:snapToGrid w:val="0"/>
        <w:spacing w:before="250" w:line="222" w:lineRule="auto"/>
        <w:ind w:left="690"/>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三、支出决算表</w:t>
      </w:r>
    </w:p>
    <w:p w14:paraId="285C2CA0">
      <w:pPr>
        <w:pStyle w:val="2"/>
        <w:keepNext w:val="0"/>
        <w:keepLines w:val="0"/>
        <w:pageBreakBefore w:val="0"/>
        <w:widowControl w:val="0"/>
        <w:kinsoku/>
        <w:wordWrap/>
        <w:overflowPunct/>
        <w:topLinePunct/>
        <w:autoSpaceDE w:val="0"/>
        <w:autoSpaceDN/>
        <w:bidi w:val="0"/>
        <w:adjustRightInd w:val="0"/>
        <w:snapToGrid w:val="0"/>
        <w:spacing w:before="251" w:line="223" w:lineRule="auto"/>
        <w:ind w:left="697"/>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四、财政拨款收入支出决算总表</w:t>
      </w:r>
    </w:p>
    <w:p w14:paraId="7C3218E8">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五、一般公共预算财政拨款支出决算表</w:t>
      </w:r>
    </w:p>
    <w:p w14:paraId="3D024542">
      <w:pPr>
        <w:pStyle w:val="2"/>
        <w:keepNext w:val="0"/>
        <w:keepLines w:val="0"/>
        <w:pageBreakBefore w:val="0"/>
        <w:widowControl w:val="0"/>
        <w:kinsoku/>
        <w:wordWrap/>
        <w:overflowPunct/>
        <w:topLinePunct/>
        <w:autoSpaceDE w:val="0"/>
        <w:autoSpaceDN/>
        <w:bidi w:val="0"/>
        <w:adjustRightInd w:val="0"/>
        <w:snapToGrid w:val="0"/>
        <w:spacing w:before="250" w:line="223" w:lineRule="auto"/>
        <w:ind w:left="669"/>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六、一般公共预算财政拨款基本支出决算明细表</w:t>
      </w:r>
    </w:p>
    <w:p w14:paraId="23C8E603">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66"/>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七、一般公共预算财政拨款“ 三公”经费支出决算表</w:t>
      </w:r>
    </w:p>
    <w:p w14:paraId="275FCFED">
      <w:pPr>
        <w:pStyle w:val="2"/>
        <w:keepNext w:val="0"/>
        <w:keepLines w:val="0"/>
        <w:pageBreakBefore w:val="0"/>
        <w:widowControl w:val="0"/>
        <w:kinsoku/>
        <w:wordWrap/>
        <w:overflowPunct/>
        <w:topLinePunct/>
        <w:autoSpaceDE w:val="0"/>
        <w:autoSpaceDN/>
        <w:bidi w:val="0"/>
        <w:adjustRightInd w:val="0"/>
        <w:snapToGrid w:val="0"/>
        <w:spacing w:before="249" w:line="222"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八、政府性基金预算财政拨款收入支出决算表</w:t>
      </w:r>
    </w:p>
    <w:p w14:paraId="71F20930">
      <w:pPr>
        <w:pStyle w:val="2"/>
        <w:keepNext w:val="0"/>
        <w:keepLines w:val="0"/>
        <w:pageBreakBefore w:val="0"/>
        <w:widowControl w:val="0"/>
        <w:kinsoku/>
        <w:wordWrap/>
        <w:overflowPunct/>
        <w:topLinePunct/>
        <w:autoSpaceDE w:val="0"/>
        <w:autoSpaceDN/>
        <w:bidi w:val="0"/>
        <w:adjustRightInd w:val="0"/>
        <w:snapToGrid w:val="0"/>
        <w:spacing w:before="252" w:line="223" w:lineRule="auto"/>
        <w:ind w:left="674"/>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九、国有资本经营预算财政拨款支出决算表</w:t>
      </w:r>
    </w:p>
    <w:p w14:paraId="2D788BF6">
      <w:pPr>
        <w:keepNext w:val="0"/>
        <w:keepLines w:val="0"/>
        <w:pageBreakBefore w:val="0"/>
        <w:widowControl w:val="0"/>
        <w:kinsoku/>
        <w:wordWrap/>
        <w:overflowPunct/>
        <w:topLinePunct/>
        <w:autoSpaceDE w:val="0"/>
        <w:autoSpaceDN/>
        <w:bidi w:val="0"/>
        <w:adjustRightInd w:val="0"/>
        <w:snapToGrid w:val="0"/>
        <w:spacing w:line="385" w:lineRule="auto"/>
        <w:textAlignment w:val="baseline"/>
        <w:rPr>
          <w:rFonts w:hint="default" w:ascii="宋体" w:hAnsi="宋体" w:eastAsia="宋体" w:cs="宋体"/>
          <w:spacing w:val="0"/>
          <w:sz w:val="20"/>
          <w:szCs w:val="20"/>
          <w:lang w:val="en-US" w:eastAsia="zh-CN"/>
        </w:rPr>
      </w:pPr>
    </w:p>
    <w:p w14:paraId="72CE518B">
      <w:pPr>
        <w:keepNext w:val="0"/>
        <w:keepLines w:val="0"/>
        <w:pageBreakBefore w:val="0"/>
        <w:widowControl w:val="0"/>
        <w:kinsoku/>
        <w:wordWrap/>
        <w:overflowPunct/>
        <w:topLinePunct/>
        <w:autoSpaceDE w:val="0"/>
        <w:autoSpaceDN/>
        <w:bidi w:val="0"/>
        <w:adjustRightInd w:val="0"/>
        <w:snapToGrid w:val="0"/>
        <w:spacing w:before="102" w:line="222"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第三部分 崇阳县残联202</w:t>
      </w:r>
      <w:r>
        <w:rPr>
          <w:rFonts w:hint="eastAsia" w:ascii="黑体" w:hAnsi="黑体" w:eastAsia="黑体" w:cs="黑体"/>
          <w:spacing w:val="0"/>
          <w:sz w:val="31"/>
          <w:szCs w:val="31"/>
          <w:lang w:val="en-US" w:eastAsia="zh-CN"/>
        </w:rPr>
        <w:t>3</w:t>
      </w:r>
      <w:r>
        <w:rPr>
          <w:rFonts w:ascii="黑体" w:hAnsi="黑体" w:eastAsia="黑体" w:cs="黑体"/>
          <w:spacing w:val="0"/>
          <w:sz w:val="31"/>
          <w:szCs w:val="31"/>
        </w:rPr>
        <w:t>年度部门决算情况说明</w:t>
      </w:r>
    </w:p>
    <w:p w14:paraId="478D04DC">
      <w:pPr>
        <w:pStyle w:val="2"/>
        <w:keepNext w:val="0"/>
        <w:keepLines w:val="0"/>
        <w:pageBreakBefore w:val="0"/>
        <w:widowControl w:val="0"/>
        <w:kinsoku/>
        <w:wordWrap/>
        <w:overflowPunct/>
        <w:topLinePunct/>
        <w:autoSpaceDE w:val="0"/>
        <w:autoSpaceDN/>
        <w:bidi w:val="0"/>
        <w:adjustRightInd w:val="0"/>
        <w:snapToGrid w:val="0"/>
        <w:spacing w:before="101" w:line="223" w:lineRule="auto"/>
        <w:ind w:left="672"/>
        <w:textAlignment w:val="baseline"/>
        <w:rPr>
          <w:rFonts w:hint="eastAsia" w:ascii="宋体" w:hAnsi="宋体" w:eastAsia="宋体" w:cs="宋体"/>
          <w:spacing w:val="0"/>
          <w:sz w:val="10"/>
          <w:szCs w:val="10"/>
        </w:rPr>
      </w:pPr>
    </w:p>
    <w:p w14:paraId="52ECA20E">
      <w:pPr>
        <w:pStyle w:val="2"/>
        <w:keepNext w:val="0"/>
        <w:keepLines w:val="0"/>
        <w:pageBreakBefore w:val="0"/>
        <w:widowControl w:val="0"/>
        <w:kinsoku/>
        <w:wordWrap/>
        <w:overflowPunct/>
        <w:topLinePunct/>
        <w:autoSpaceDE w:val="0"/>
        <w:autoSpaceDN/>
        <w:bidi w:val="0"/>
        <w:adjustRightInd w:val="0"/>
        <w:snapToGrid w:val="0"/>
        <w:spacing w:before="101"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一、收入支出决算总体情况说明</w:t>
      </w:r>
    </w:p>
    <w:p w14:paraId="0BF5BAE4">
      <w:pPr>
        <w:pStyle w:val="2"/>
        <w:keepNext w:val="0"/>
        <w:keepLines w:val="0"/>
        <w:pageBreakBefore w:val="0"/>
        <w:widowControl w:val="0"/>
        <w:kinsoku/>
        <w:wordWrap/>
        <w:overflowPunct/>
        <w:topLinePunct/>
        <w:autoSpaceDE w:val="0"/>
        <w:autoSpaceDN/>
        <w:bidi w:val="0"/>
        <w:adjustRightInd w:val="0"/>
        <w:snapToGrid w:val="0"/>
        <w:spacing w:before="250"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二、收入决算情况说明</w:t>
      </w:r>
    </w:p>
    <w:p w14:paraId="630EA73B">
      <w:pPr>
        <w:keepNext w:val="0"/>
        <w:keepLines w:val="0"/>
        <w:pageBreakBefore w:val="0"/>
        <w:widowControl w:val="0"/>
        <w:kinsoku/>
        <w:wordWrap/>
        <w:overflowPunct/>
        <w:topLinePunct/>
        <w:autoSpaceDE w:val="0"/>
        <w:autoSpaceDN/>
        <w:bidi w:val="0"/>
        <w:adjustRightInd w:val="0"/>
        <w:snapToGrid w:val="0"/>
        <w:spacing w:line="223" w:lineRule="auto"/>
        <w:textAlignment w:val="baseline"/>
        <w:rPr>
          <w:rFonts w:hint="eastAsia" w:ascii="宋体" w:hAnsi="宋体" w:eastAsia="宋体" w:cs="宋体"/>
          <w:spacing w:val="0"/>
          <w:sz w:val="30"/>
          <w:szCs w:val="30"/>
        </w:rPr>
        <w:sectPr>
          <w:footerReference r:id="rId5" w:type="default"/>
          <w:pgSz w:w="11906" w:h="16839"/>
          <w:pgMar w:top="1431" w:right="1785" w:bottom="1156" w:left="1785" w:header="0" w:footer="994" w:gutter="0"/>
          <w:pgNumType w:fmt="decimal"/>
          <w:cols w:space="720" w:num="1"/>
        </w:sectPr>
      </w:pPr>
    </w:p>
    <w:p w14:paraId="1B6FC037">
      <w:pPr>
        <w:pStyle w:val="2"/>
        <w:keepNext w:val="0"/>
        <w:keepLines w:val="0"/>
        <w:pageBreakBefore w:val="0"/>
        <w:widowControl w:val="0"/>
        <w:kinsoku/>
        <w:wordWrap/>
        <w:overflowPunct/>
        <w:topLinePunct/>
        <w:autoSpaceDE w:val="0"/>
        <w:autoSpaceDN/>
        <w:bidi w:val="0"/>
        <w:adjustRightInd w:val="0"/>
        <w:snapToGrid w:val="0"/>
        <w:spacing w:before="163" w:line="222" w:lineRule="auto"/>
        <w:ind w:left="690"/>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三、支出决算情况说明</w:t>
      </w:r>
    </w:p>
    <w:p w14:paraId="4ABFE621">
      <w:pPr>
        <w:pStyle w:val="2"/>
        <w:keepNext w:val="0"/>
        <w:keepLines w:val="0"/>
        <w:pageBreakBefore w:val="0"/>
        <w:widowControl w:val="0"/>
        <w:kinsoku/>
        <w:wordWrap/>
        <w:overflowPunct/>
        <w:topLinePunct/>
        <w:autoSpaceDE w:val="0"/>
        <w:autoSpaceDN/>
        <w:bidi w:val="0"/>
        <w:adjustRightInd w:val="0"/>
        <w:snapToGrid w:val="0"/>
        <w:spacing w:before="250" w:line="223" w:lineRule="auto"/>
        <w:ind w:left="697"/>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四、财政拨款收入支出决算总体情况说明</w:t>
      </w:r>
    </w:p>
    <w:p w14:paraId="7FCE38DD">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五、一般公共预算财政拨款支出决算情况说明</w:t>
      </w:r>
    </w:p>
    <w:p w14:paraId="7413263E">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69"/>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六、一般公共预算财政拨款基本支出决算情况说明</w:t>
      </w:r>
    </w:p>
    <w:p w14:paraId="4CA863FC">
      <w:pPr>
        <w:pStyle w:val="2"/>
        <w:keepNext w:val="0"/>
        <w:keepLines w:val="0"/>
        <w:pageBreakBefore w:val="0"/>
        <w:widowControl w:val="0"/>
        <w:kinsoku/>
        <w:wordWrap/>
        <w:overflowPunct/>
        <w:topLinePunct/>
        <w:autoSpaceDE w:val="0"/>
        <w:autoSpaceDN/>
        <w:bidi w:val="0"/>
        <w:adjustRightInd w:val="0"/>
        <w:snapToGrid w:val="0"/>
        <w:spacing w:before="250" w:line="223" w:lineRule="auto"/>
        <w:ind w:left="666"/>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七、财政拨款 “ 三公”经费支出决算情况说明</w:t>
      </w:r>
    </w:p>
    <w:p w14:paraId="1138EF79">
      <w:pPr>
        <w:pStyle w:val="2"/>
        <w:keepNext w:val="0"/>
        <w:keepLines w:val="0"/>
        <w:pageBreakBefore w:val="0"/>
        <w:widowControl w:val="0"/>
        <w:kinsoku/>
        <w:wordWrap/>
        <w:overflowPunct/>
        <w:topLinePunct/>
        <w:autoSpaceDE w:val="0"/>
        <w:autoSpaceDN/>
        <w:bidi w:val="0"/>
        <w:adjustRightInd w:val="0"/>
        <w:snapToGrid w:val="0"/>
        <w:spacing w:before="249" w:line="222" w:lineRule="auto"/>
        <w:ind w:left="672"/>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八、政府性基金预算财政拨款收入支出决算情况说明</w:t>
      </w:r>
    </w:p>
    <w:p w14:paraId="45AAA4DA">
      <w:pPr>
        <w:pStyle w:val="2"/>
        <w:keepNext w:val="0"/>
        <w:keepLines w:val="0"/>
        <w:pageBreakBefore w:val="0"/>
        <w:widowControl w:val="0"/>
        <w:kinsoku/>
        <w:wordWrap/>
        <w:overflowPunct/>
        <w:topLinePunct/>
        <w:autoSpaceDE w:val="0"/>
        <w:autoSpaceDN/>
        <w:bidi w:val="0"/>
        <w:adjustRightInd w:val="0"/>
        <w:snapToGrid w:val="0"/>
        <w:spacing w:before="252" w:line="223" w:lineRule="auto"/>
        <w:ind w:left="674"/>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九、国有资本经营预算财政拨款支出决算情况说明</w:t>
      </w:r>
    </w:p>
    <w:p w14:paraId="12BE9E8A">
      <w:pPr>
        <w:pStyle w:val="2"/>
        <w:keepNext w:val="0"/>
        <w:keepLines w:val="0"/>
        <w:pageBreakBefore w:val="0"/>
        <w:widowControl w:val="0"/>
        <w:kinsoku/>
        <w:wordWrap/>
        <w:overflowPunct/>
        <w:topLinePunct/>
        <w:autoSpaceDE w:val="0"/>
        <w:autoSpaceDN/>
        <w:bidi w:val="0"/>
        <w:adjustRightInd w:val="0"/>
        <w:snapToGrid w:val="0"/>
        <w:spacing w:before="248" w:line="223" w:lineRule="auto"/>
        <w:ind w:left="668"/>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十、机关运行经费支出说明</w:t>
      </w:r>
    </w:p>
    <w:p w14:paraId="6349694A">
      <w:pPr>
        <w:pStyle w:val="2"/>
        <w:keepNext w:val="0"/>
        <w:keepLines w:val="0"/>
        <w:pageBreakBefore w:val="0"/>
        <w:widowControl w:val="0"/>
        <w:kinsoku/>
        <w:wordWrap/>
        <w:overflowPunct/>
        <w:topLinePunct/>
        <w:autoSpaceDE w:val="0"/>
        <w:autoSpaceDN/>
        <w:bidi w:val="0"/>
        <w:adjustRightInd w:val="0"/>
        <w:snapToGrid w:val="0"/>
        <w:spacing w:before="250" w:line="225" w:lineRule="auto"/>
        <w:ind w:left="668"/>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十一、政府采购支出说明</w:t>
      </w:r>
    </w:p>
    <w:p w14:paraId="398FC6DD">
      <w:pPr>
        <w:pStyle w:val="2"/>
        <w:keepNext w:val="0"/>
        <w:keepLines w:val="0"/>
        <w:pageBreakBefore w:val="0"/>
        <w:widowControl w:val="0"/>
        <w:kinsoku/>
        <w:wordWrap/>
        <w:overflowPunct/>
        <w:topLinePunct/>
        <w:autoSpaceDE w:val="0"/>
        <w:autoSpaceDN/>
        <w:bidi w:val="0"/>
        <w:adjustRightInd w:val="0"/>
        <w:snapToGrid w:val="0"/>
        <w:spacing w:before="246" w:line="224" w:lineRule="auto"/>
        <w:ind w:left="668"/>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十二、国有资产占用情况说明</w:t>
      </w:r>
    </w:p>
    <w:p w14:paraId="158345F9">
      <w:pPr>
        <w:pStyle w:val="2"/>
        <w:keepNext w:val="0"/>
        <w:keepLines w:val="0"/>
        <w:pageBreakBefore w:val="0"/>
        <w:widowControl w:val="0"/>
        <w:kinsoku/>
        <w:wordWrap/>
        <w:overflowPunct/>
        <w:topLinePunct/>
        <w:autoSpaceDE w:val="0"/>
        <w:autoSpaceDN/>
        <w:bidi w:val="0"/>
        <w:adjustRightInd w:val="0"/>
        <w:snapToGrid w:val="0"/>
        <w:spacing w:before="249" w:line="223" w:lineRule="auto"/>
        <w:ind w:left="668"/>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十三、预算绩效情况说明</w:t>
      </w:r>
    </w:p>
    <w:p w14:paraId="2723704C">
      <w:pPr>
        <w:pStyle w:val="2"/>
        <w:keepNext w:val="0"/>
        <w:keepLines w:val="0"/>
        <w:pageBreakBefore w:val="0"/>
        <w:widowControl w:val="0"/>
        <w:kinsoku/>
        <w:wordWrap/>
        <w:overflowPunct/>
        <w:topLinePunct/>
        <w:autoSpaceDE w:val="0"/>
        <w:autoSpaceDN/>
        <w:bidi w:val="0"/>
        <w:adjustRightInd w:val="0"/>
        <w:snapToGrid w:val="0"/>
        <w:spacing w:before="249" w:line="224" w:lineRule="auto"/>
        <w:ind w:left="668"/>
        <w:textAlignment w:val="baseline"/>
        <w:rPr>
          <w:rFonts w:hint="eastAsia" w:ascii="宋体" w:hAnsi="宋体" w:eastAsia="宋体" w:cs="宋体"/>
          <w:spacing w:val="0"/>
          <w:sz w:val="30"/>
          <w:szCs w:val="30"/>
        </w:rPr>
      </w:pPr>
      <w:r>
        <w:rPr>
          <w:rFonts w:hint="eastAsia" w:ascii="宋体" w:hAnsi="宋体" w:eastAsia="宋体" w:cs="宋体"/>
          <w:spacing w:val="0"/>
          <w:sz w:val="30"/>
          <w:szCs w:val="30"/>
        </w:rPr>
        <w:t>十四、专项支出、转移支付支出情况说明</w:t>
      </w:r>
    </w:p>
    <w:p w14:paraId="0D286E4C">
      <w:pPr>
        <w:keepNext w:val="0"/>
        <w:keepLines w:val="0"/>
        <w:pageBreakBefore w:val="0"/>
        <w:widowControl w:val="0"/>
        <w:kinsoku/>
        <w:wordWrap/>
        <w:overflowPunct/>
        <w:topLinePunct/>
        <w:autoSpaceDE w:val="0"/>
        <w:autoSpaceDN/>
        <w:bidi w:val="0"/>
        <w:adjustRightInd w:val="0"/>
        <w:snapToGrid w:val="0"/>
        <w:spacing w:before="6"/>
        <w:textAlignment w:val="baseline"/>
        <w:rPr>
          <w:spacing w:val="0"/>
        </w:rPr>
      </w:pPr>
    </w:p>
    <w:p w14:paraId="6E2CC71F">
      <w:pPr>
        <w:keepNext w:val="0"/>
        <w:keepLines w:val="0"/>
        <w:pageBreakBefore w:val="0"/>
        <w:widowControl w:val="0"/>
        <w:kinsoku/>
        <w:wordWrap/>
        <w:overflowPunct/>
        <w:topLinePunct/>
        <w:autoSpaceDE w:val="0"/>
        <w:autoSpaceDN/>
        <w:bidi w:val="0"/>
        <w:adjustRightInd w:val="0"/>
        <w:snapToGrid w:val="0"/>
        <w:textAlignment w:val="baseline"/>
        <w:rPr>
          <w:rFonts w:ascii="Arial"/>
          <w:spacing w:val="0"/>
          <w:sz w:val="21"/>
        </w:rPr>
      </w:pPr>
    </w:p>
    <w:p w14:paraId="497A7971">
      <w:pPr>
        <w:keepNext w:val="0"/>
        <w:keepLines w:val="0"/>
        <w:pageBreakBefore w:val="0"/>
        <w:widowControl w:val="0"/>
        <w:numPr>
          <w:ilvl w:val="0"/>
          <w:numId w:val="1"/>
        </w:numPr>
        <w:kinsoku/>
        <w:wordWrap/>
        <w:overflowPunct/>
        <w:topLinePunct/>
        <w:autoSpaceDE w:val="0"/>
        <w:autoSpaceDN/>
        <w:bidi w:val="0"/>
        <w:adjustRightInd w:val="0"/>
        <w:snapToGrid w:val="0"/>
        <w:spacing w:line="600" w:lineRule="exact"/>
        <w:ind w:left="700" w:leftChars="0" w:firstLine="0" w:firstLineChars="0"/>
        <w:textAlignment w:val="baseline"/>
        <w:rPr>
          <w:rFonts w:hint="default" w:ascii="黑体" w:hAnsi="黑体" w:eastAsia="黑体" w:cs="黑体"/>
          <w:spacing w:val="0"/>
          <w:sz w:val="31"/>
          <w:szCs w:val="31"/>
          <w:lang w:val="en-US" w:eastAsia="zh-CN"/>
        </w:rPr>
      </w:pPr>
      <w:r>
        <w:rPr>
          <w:rFonts w:ascii="黑体" w:hAnsi="黑体" w:eastAsia="黑体" w:cs="黑体"/>
          <w:spacing w:val="0"/>
          <w:sz w:val="31"/>
          <w:szCs w:val="31"/>
        </w:rPr>
        <w:t>其他需要说明的情况</w:t>
      </w:r>
    </w:p>
    <w:p w14:paraId="483383A0">
      <w:pPr>
        <w:keepNext w:val="0"/>
        <w:keepLines w:val="0"/>
        <w:pageBreakBefore w:val="0"/>
        <w:widowControl w:val="0"/>
        <w:numPr>
          <w:ilvl w:val="0"/>
          <w:numId w:val="1"/>
        </w:numPr>
        <w:kinsoku/>
        <w:wordWrap/>
        <w:overflowPunct/>
        <w:topLinePunct/>
        <w:autoSpaceDE w:val="0"/>
        <w:autoSpaceDN/>
        <w:bidi w:val="0"/>
        <w:adjustRightInd w:val="0"/>
        <w:snapToGrid w:val="0"/>
        <w:spacing w:line="600" w:lineRule="exact"/>
        <w:ind w:left="700" w:leftChars="0" w:firstLine="0" w:firstLineChars="0"/>
        <w:textAlignment w:val="baseline"/>
        <w:rPr>
          <w:rFonts w:ascii="黑体" w:hAnsi="黑体" w:eastAsia="黑体" w:cs="黑体"/>
          <w:spacing w:val="0"/>
          <w:sz w:val="31"/>
          <w:szCs w:val="31"/>
        </w:rPr>
      </w:pPr>
      <w:r>
        <w:rPr>
          <w:rFonts w:ascii="黑体" w:hAnsi="黑体" w:eastAsia="黑体" w:cs="黑体"/>
          <w:spacing w:val="0"/>
          <w:sz w:val="31"/>
          <w:szCs w:val="31"/>
        </w:rPr>
        <w:t>名词解释</w:t>
      </w:r>
    </w:p>
    <w:p w14:paraId="6A1E209F">
      <w:pPr>
        <w:keepNext w:val="0"/>
        <w:keepLines w:val="0"/>
        <w:pageBreakBefore w:val="0"/>
        <w:widowControl w:val="0"/>
        <w:numPr>
          <w:ilvl w:val="0"/>
          <w:numId w:val="1"/>
        </w:numPr>
        <w:kinsoku/>
        <w:wordWrap/>
        <w:overflowPunct/>
        <w:topLinePunct/>
        <w:autoSpaceDE w:val="0"/>
        <w:autoSpaceDN/>
        <w:bidi w:val="0"/>
        <w:adjustRightInd w:val="0"/>
        <w:snapToGrid w:val="0"/>
        <w:spacing w:line="600" w:lineRule="exact"/>
        <w:ind w:left="700" w:leftChars="0" w:firstLine="0" w:firstLineChars="0"/>
        <w:textAlignment w:val="baseline"/>
        <w:rPr>
          <w:rFonts w:ascii="黑体" w:hAnsi="黑体" w:eastAsia="黑体" w:cs="黑体"/>
          <w:spacing w:val="0"/>
          <w:sz w:val="31"/>
          <w:szCs w:val="31"/>
        </w:rPr>
      </w:pPr>
      <w:r>
        <w:rPr>
          <w:rFonts w:ascii="黑体" w:hAnsi="黑体" w:eastAsia="黑体" w:cs="黑体"/>
          <w:spacing w:val="0"/>
          <w:sz w:val="31"/>
          <w:szCs w:val="31"/>
        </w:rPr>
        <w:t>附    件</w:t>
      </w:r>
    </w:p>
    <w:p w14:paraId="7B57A6F0">
      <w:pPr>
        <w:keepNext w:val="0"/>
        <w:keepLines w:val="0"/>
        <w:pageBreakBefore w:val="0"/>
        <w:widowControl w:val="0"/>
        <w:numPr>
          <w:ilvl w:val="0"/>
          <w:numId w:val="0"/>
        </w:numPr>
        <w:kinsoku/>
        <w:wordWrap/>
        <w:overflowPunct/>
        <w:topLinePunct/>
        <w:autoSpaceDE w:val="0"/>
        <w:autoSpaceDN/>
        <w:bidi w:val="0"/>
        <w:adjustRightInd w:val="0"/>
        <w:snapToGrid w:val="0"/>
        <w:spacing w:line="600" w:lineRule="exact"/>
        <w:jc w:val="left"/>
        <w:textAlignment w:val="baseline"/>
        <w:rPr>
          <w:rFonts w:hint="default" w:ascii="黑体" w:hAnsi="黑体" w:eastAsia="黑体" w:cs="黑体"/>
          <w:spacing w:val="0"/>
          <w:sz w:val="31"/>
          <w:szCs w:val="31"/>
          <w:lang w:val="en-US" w:eastAsia="zh-CN"/>
        </w:rPr>
      </w:pPr>
    </w:p>
    <w:p w14:paraId="21C021C6">
      <w:pPr>
        <w:keepNext w:val="0"/>
        <w:keepLines w:val="0"/>
        <w:pageBreakBefore w:val="0"/>
        <w:widowControl w:val="0"/>
        <w:numPr>
          <w:ilvl w:val="0"/>
          <w:numId w:val="0"/>
        </w:numPr>
        <w:kinsoku/>
        <w:wordWrap/>
        <w:overflowPunct/>
        <w:topLinePunct/>
        <w:autoSpaceDE w:val="0"/>
        <w:autoSpaceDN/>
        <w:bidi w:val="0"/>
        <w:adjustRightInd w:val="0"/>
        <w:snapToGrid w:val="0"/>
        <w:spacing w:line="600" w:lineRule="exact"/>
        <w:jc w:val="left"/>
        <w:textAlignment w:val="baseline"/>
        <w:rPr>
          <w:rFonts w:hint="default" w:ascii="黑体" w:hAnsi="黑体" w:eastAsia="黑体" w:cs="黑体"/>
          <w:spacing w:val="0"/>
          <w:sz w:val="31"/>
          <w:szCs w:val="31"/>
          <w:lang w:val="en-US" w:eastAsia="zh-CN"/>
        </w:rPr>
        <w:sectPr>
          <w:footerReference r:id="rId6" w:type="default"/>
          <w:pgSz w:w="11906" w:h="16839"/>
          <w:pgMar w:top="1431" w:right="1785" w:bottom="1156" w:left="1785" w:header="0" w:footer="994" w:gutter="0"/>
          <w:pgNumType w:fmt="decimal"/>
          <w:cols w:space="720" w:num="1"/>
        </w:sectPr>
      </w:pPr>
    </w:p>
    <w:p w14:paraId="2499075E">
      <w:pPr>
        <w:keepNext w:val="0"/>
        <w:keepLines w:val="0"/>
        <w:pageBreakBefore w:val="0"/>
        <w:widowControl w:val="0"/>
        <w:kinsoku/>
        <w:wordWrap/>
        <w:overflowPunct/>
        <w:topLinePunct/>
        <w:autoSpaceDE w:val="0"/>
        <w:autoSpaceDN/>
        <w:bidi w:val="0"/>
        <w:adjustRightInd w:val="0"/>
        <w:snapToGrid w:val="0"/>
        <w:spacing w:before="163" w:line="226"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第一部分  部门名称概况</w:t>
      </w:r>
    </w:p>
    <w:p w14:paraId="57B5CD88">
      <w:pPr>
        <w:keepNext w:val="0"/>
        <w:keepLines w:val="0"/>
        <w:pageBreakBefore w:val="0"/>
        <w:widowControl w:val="0"/>
        <w:kinsoku/>
        <w:wordWrap/>
        <w:overflowPunct/>
        <w:topLinePunct/>
        <w:autoSpaceDE w:val="0"/>
        <w:autoSpaceDN/>
        <w:bidi w:val="0"/>
        <w:adjustRightInd w:val="0"/>
        <w:snapToGrid w:val="0"/>
        <w:spacing w:before="304" w:line="226" w:lineRule="auto"/>
        <w:ind w:left="672"/>
        <w:textAlignment w:val="baseline"/>
        <w:rPr>
          <w:rFonts w:ascii="黑体" w:hAnsi="黑体" w:eastAsia="黑体" w:cs="黑体"/>
          <w:spacing w:val="0"/>
          <w:sz w:val="31"/>
          <w:szCs w:val="31"/>
        </w:rPr>
      </w:pPr>
      <w:r>
        <w:rPr>
          <w:rFonts w:ascii="黑体" w:hAnsi="黑体" w:eastAsia="黑体" w:cs="黑体"/>
          <w:spacing w:val="0"/>
          <w:sz w:val="31"/>
          <w:szCs w:val="31"/>
        </w:rPr>
        <w:t>一、部门主要职责</w:t>
      </w:r>
    </w:p>
    <w:p w14:paraId="4483AFB6">
      <w:pPr>
        <w:pStyle w:val="2"/>
        <w:keepNext w:val="0"/>
        <w:keepLines w:val="0"/>
        <w:pageBreakBefore w:val="0"/>
        <w:widowControl w:val="0"/>
        <w:kinsoku/>
        <w:wordWrap/>
        <w:overflowPunct/>
        <w:topLinePunct/>
        <w:autoSpaceDE w:val="0"/>
        <w:autoSpaceDN/>
        <w:bidi w:val="0"/>
        <w:adjustRightInd w:val="0"/>
        <w:snapToGrid w:val="0"/>
        <w:spacing w:before="303" w:line="222" w:lineRule="auto"/>
        <w:ind w:left="672"/>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崇阳县残疾人联合会是由全县残疾人和残疾人工作者</w:t>
      </w:r>
    </w:p>
    <w:p w14:paraId="2EBF9DED">
      <w:pPr>
        <w:pStyle w:val="2"/>
        <w:keepNext w:val="0"/>
        <w:keepLines w:val="0"/>
        <w:pageBreakBefore w:val="0"/>
        <w:widowControl w:val="0"/>
        <w:kinsoku/>
        <w:wordWrap/>
        <w:overflowPunct/>
        <w:topLinePunct/>
        <w:autoSpaceDE w:val="0"/>
        <w:autoSpaceDN/>
        <w:bidi w:val="0"/>
        <w:adjustRightInd w:val="0"/>
        <w:snapToGrid w:val="0"/>
        <w:spacing w:before="248" w:line="366" w:lineRule="auto"/>
        <w:ind w:left="27" w:right="27" w:firstLine="2"/>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组成的人民团体，是中国残联的地方组织，是县委、县政府 联系全县残疾人的桥梁和纽带，集“代表、服务、管理”三大职能为一体，代表残疾人共同利益，维护残疾人合法权益；开展各项业务和活动，直接为残疾人服务；接受政府委托，管理残疾人有关事务，发展残疾人事业。</w:t>
      </w:r>
    </w:p>
    <w:p w14:paraId="45B46388">
      <w:pPr>
        <w:pStyle w:val="2"/>
        <w:keepNext w:val="0"/>
        <w:keepLines w:val="0"/>
        <w:pageBreakBefore w:val="0"/>
        <w:widowControl w:val="0"/>
        <w:kinsoku/>
        <w:wordWrap/>
        <w:overflowPunct/>
        <w:topLinePunct/>
        <w:autoSpaceDE w:val="0"/>
        <w:autoSpaceDN/>
        <w:bidi w:val="0"/>
        <w:adjustRightInd w:val="0"/>
        <w:snapToGrid w:val="0"/>
        <w:spacing w:before="161" w:line="356" w:lineRule="auto"/>
        <w:ind w:right="17" w:firstLine="640" w:firstLineChars="200"/>
        <w:textAlignment w:val="top"/>
        <w:rPr>
          <w:rFonts w:hint="eastAsia" w:ascii="仿宋" w:hAnsi="仿宋" w:eastAsia="仿宋" w:cs="仿宋"/>
          <w:spacing w:val="0"/>
          <w:sz w:val="32"/>
          <w:szCs w:val="32"/>
        </w:rPr>
      </w:pPr>
      <w:r>
        <w:rPr>
          <w:rFonts w:hint="eastAsia" w:ascii="仿宋" w:hAnsi="仿宋" w:eastAsia="仿宋" w:cs="仿宋"/>
          <w:spacing w:val="0"/>
          <w:sz w:val="32"/>
          <w:szCs w:val="32"/>
        </w:rPr>
        <w:t>单位职责:听取残疾人意见，反映残疾人需求，维护残疾人权益，为残疾人服务;团结、教育残疾人遵守法律，履行应尽的义务，发扬乐观进取精神，自尊</w:t>
      </w:r>
      <w:r>
        <w:rPr>
          <w:rFonts w:hint="eastAsia" w:cs="仿宋"/>
          <w:spacing w:val="0"/>
          <w:sz w:val="32"/>
          <w:szCs w:val="32"/>
          <w:lang w:val="en-US" w:eastAsia="zh-CN"/>
        </w:rPr>
        <w:t>、</w:t>
      </w:r>
      <w:r>
        <w:rPr>
          <w:rFonts w:hint="eastAsia" w:ascii="仿宋" w:hAnsi="仿宋" w:eastAsia="仿宋" w:cs="仿宋"/>
          <w:spacing w:val="0"/>
          <w:sz w:val="32"/>
          <w:szCs w:val="32"/>
        </w:rPr>
        <w:t>自信、自强</w:t>
      </w:r>
      <w:r>
        <w:rPr>
          <w:rFonts w:hint="eastAsia" w:cs="仿宋"/>
          <w:spacing w:val="0"/>
          <w:sz w:val="32"/>
          <w:szCs w:val="32"/>
          <w:lang w:val="en-US" w:eastAsia="zh-CN"/>
        </w:rPr>
        <w:t>、</w:t>
      </w:r>
      <w:r>
        <w:rPr>
          <w:rFonts w:hint="eastAsia" w:ascii="仿宋" w:hAnsi="仿宋" w:eastAsia="仿宋" w:cs="仿宋"/>
          <w:spacing w:val="0"/>
          <w:sz w:val="32"/>
          <w:szCs w:val="32"/>
        </w:rPr>
        <w:t>自立</w:t>
      </w:r>
      <w:r>
        <w:rPr>
          <w:rFonts w:hint="eastAsia" w:cs="仿宋"/>
          <w:spacing w:val="0"/>
          <w:sz w:val="32"/>
          <w:szCs w:val="32"/>
          <w:lang w:val="en-US" w:eastAsia="zh-CN"/>
        </w:rPr>
        <w:t>、</w:t>
      </w:r>
      <w:r>
        <w:rPr>
          <w:rFonts w:hint="eastAsia" w:ascii="仿宋" w:hAnsi="仿宋" w:eastAsia="仿宋" w:cs="仿宋"/>
          <w:spacing w:val="0"/>
          <w:sz w:val="32"/>
          <w:szCs w:val="32"/>
        </w:rPr>
        <w:t>为社会主义建设贡献力量;弘扬人道主义，宣传残疾人事业，沟通政府、社会与残疾人之间的联系，动员社会理解、尊重</w:t>
      </w:r>
      <w:r>
        <w:rPr>
          <w:rFonts w:hint="eastAsia" w:cs="仿宋"/>
          <w:spacing w:val="0"/>
          <w:sz w:val="32"/>
          <w:szCs w:val="32"/>
          <w:lang w:val="en-US" w:eastAsia="zh-CN"/>
        </w:rPr>
        <w:t>、</w:t>
      </w:r>
      <w:r>
        <w:rPr>
          <w:rFonts w:hint="eastAsia" w:ascii="仿宋" w:hAnsi="仿宋" w:eastAsia="仿宋" w:cs="仿宋"/>
          <w:spacing w:val="0"/>
          <w:sz w:val="32"/>
          <w:szCs w:val="32"/>
        </w:rPr>
        <w:t>关心、帮助残疾人;开展残疾人康复、教育、就业、扶贫</w:t>
      </w:r>
      <w:r>
        <w:rPr>
          <w:rFonts w:hint="eastAsia" w:cs="仿宋"/>
          <w:spacing w:val="0"/>
          <w:sz w:val="32"/>
          <w:szCs w:val="32"/>
          <w:lang w:val="en-US" w:eastAsia="zh-CN"/>
        </w:rPr>
        <w:t>、</w:t>
      </w:r>
      <w:r>
        <w:rPr>
          <w:rFonts w:hint="eastAsia" w:ascii="仿宋" w:hAnsi="仿宋" w:eastAsia="仿宋" w:cs="仿宋"/>
          <w:spacing w:val="0"/>
          <w:sz w:val="32"/>
          <w:szCs w:val="32"/>
        </w:rPr>
        <w:t>文化</w:t>
      </w:r>
      <w:r>
        <w:rPr>
          <w:rFonts w:hint="eastAsia" w:cs="仿宋"/>
          <w:spacing w:val="0"/>
          <w:sz w:val="32"/>
          <w:szCs w:val="32"/>
          <w:lang w:eastAsia="zh-CN"/>
        </w:rPr>
        <w:t>、</w:t>
      </w:r>
      <w:r>
        <w:rPr>
          <w:rFonts w:hint="eastAsia" w:ascii="仿宋" w:hAnsi="仿宋" w:eastAsia="仿宋" w:cs="仿宋"/>
          <w:spacing w:val="0"/>
          <w:sz w:val="32"/>
          <w:szCs w:val="32"/>
        </w:rPr>
        <w:t>体育、无障碍设施和残疾预防等工作，为残疾人平等参与社会生活，创造良好的环境和条件;</w:t>
      </w:r>
      <w:r>
        <w:rPr>
          <w:rFonts w:hint="eastAsia" w:ascii="仿宋" w:hAnsi="仿宋" w:eastAsia="仿宋" w:cs="仿宋"/>
          <w:color w:val="333333"/>
          <w:spacing w:val="0"/>
          <w:sz w:val="32"/>
          <w:szCs w:val="32"/>
        </w:rPr>
        <w:t>承担县政府残疾人工作委员会的日常工作,推进残疾人社会保障和服务体系建设；</w:t>
      </w:r>
      <w:r>
        <w:rPr>
          <w:rFonts w:hint="eastAsia" w:ascii="仿宋" w:hAnsi="仿宋" w:eastAsia="仿宋" w:cs="仿宋"/>
          <w:spacing w:val="0"/>
          <w:sz w:val="32"/>
          <w:szCs w:val="32"/>
        </w:rPr>
        <w:t>协助政府研究、拟制和实施我县残疾人事业的规范文件</w:t>
      </w:r>
      <w:r>
        <w:rPr>
          <w:rFonts w:hint="eastAsia" w:cs="仿宋"/>
          <w:spacing w:val="0"/>
          <w:sz w:val="32"/>
          <w:szCs w:val="32"/>
          <w:lang w:val="en-US" w:eastAsia="zh-CN"/>
        </w:rPr>
        <w:t>、</w:t>
      </w:r>
      <w:r>
        <w:rPr>
          <w:rFonts w:hint="eastAsia" w:ascii="仿宋" w:hAnsi="仿宋" w:eastAsia="仿宋" w:cs="仿宋"/>
          <w:spacing w:val="0"/>
          <w:sz w:val="32"/>
          <w:szCs w:val="32"/>
        </w:rPr>
        <w:t>政策、规划和计划，对有关业务领域进行指导和管理;</w:t>
      </w:r>
      <w:r>
        <w:rPr>
          <w:rFonts w:hint="eastAsia" w:ascii="仿宋" w:hAnsi="仿宋" w:eastAsia="仿宋" w:cs="仿宋"/>
          <w:color w:val="333333"/>
          <w:spacing w:val="0"/>
          <w:sz w:val="32"/>
          <w:szCs w:val="32"/>
        </w:rPr>
        <w:t>加强基层和社区残疾人工作,为残疾人提供服务；活跃专门协会,密切联系广大残疾人,听取、反映其意见和要求, 团结、教育残疾人,发挥桥梁和纽带作用；加大依法维护残疾人权益的工作力度,为残疾人提供法律援助和服务；承办县委、县政府和省、市 残联交办的其他工作。</w:t>
      </w:r>
    </w:p>
    <w:p w14:paraId="056B0A80">
      <w:pPr>
        <w:keepNext w:val="0"/>
        <w:keepLines w:val="0"/>
        <w:pageBreakBefore w:val="0"/>
        <w:widowControl w:val="0"/>
        <w:kinsoku/>
        <w:wordWrap/>
        <w:overflowPunct/>
        <w:topLinePunct/>
        <w:autoSpaceDE w:val="0"/>
        <w:autoSpaceDN/>
        <w:bidi w:val="0"/>
        <w:adjustRightInd w:val="0"/>
        <w:snapToGrid w:val="0"/>
        <w:spacing w:before="114" w:line="227" w:lineRule="auto"/>
        <w:ind w:left="672"/>
        <w:textAlignment w:val="baseline"/>
        <w:rPr>
          <w:rFonts w:ascii="黑体" w:hAnsi="黑体" w:eastAsia="黑体" w:cs="黑体"/>
          <w:spacing w:val="0"/>
          <w:sz w:val="31"/>
          <w:szCs w:val="31"/>
        </w:rPr>
      </w:pPr>
      <w:r>
        <w:rPr>
          <w:rFonts w:ascii="黑体" w:hAnsi="黑体" w:eastAsia="黑体" w:cs="黑体"/>
          <w:spacing w:val="0"/>
          <w:sz w:val="31"/>
          <w:szCs w:val="31"/>
        </w:rPr>
        <w:t>二、机构设置情况</w:t>
      </w:r>
    </w:p>
    <w:p w14:paraId="20102504">
      <w:pPr>
        <w:pStyle w:val="2"/>
        <w:keepNext w:val="0"/>
        <w:keepLines w:val="0"/>
        <w:pageBreakBefore w:val="0"/>
        <w:widowControl w:val="0"/>
        <w:kinsoku/>
        <w:wordWrap/>
        <w:overflowPunct/>
        <w:topLinePunct/>
        <w:autoSpaceDE w:val="0"/>
        <w:autoSpaceDN/>
        <w:bidi w:val="0"/>
        <w:adjustRightInd w:val="0"/>
        <w:snapToGrid w:val="0"/>
        <w:spacing w:before="137" w:line="363" w:lineRule="auto"/>
        <w:ind w:left="26" w:right="16" w:firstLine="64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从单位构成看，崇阳县残疾人联合会部门决算由实行独 立核算的崇阳县残疾人联合会本级决算和 2 个下属单位决算组成。</w:t>
      </w:r>
    </w:p>
    <w:p w14:paraId="180DC034">
      <w:pPr>
        <w:pStyle w:val="2"/>
        <w:keepNext w:val="0"/>
        <w:keepLines w:val="0"/>
        <w:pageBreakBefore w:val="0"/>
        <w:widowControl w:val="0"/>
        <w:kinsoku/>
        <w:wordWrap/>
        <w:overflowPunct/>
        <w:topLinePunct/>
        <w:autoSpaceDE w:val="0"/>
        <w:autoSpaceDN/>
        <w:bidi w:val="0"/>
        <w:adjustRightInd w:val="0"/>
        <w:snapToGrid w:val="0"/>
        <w:spacing w:before="45" w:line="356" w:lineRule="auto"/>
        <w:ind w:left="53" w:right="16" w:firstLine="61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纳入崇阳县残疾人联合会 202</w:t>
      </w:r>
      <w:r>
        <w:rPr>
          <w:rFonts w:hint="eastAsia" w:cs="仿宋"/>
          <w:spacing w:val="0"/>
          <w:sz w:val="32"/>
          <w:szCs w:val="32"/>
          <w:lang w:val="en-US" w:eastAsia="zh-CN"/>
        </w:rPr>
        <w:t>3</w:t>
      </w:r>
      <w:r>
        <w:rPr>
          <w:rFonts w:hint="eastAsia" w:ascii="仿宋" w:hAnsi="仿宋" w:eastAsia="仿宋" w:cs="仿宋"/>
          <w:spacing w:val="0"/>
          <w:sz w:val="32"/>
          <w:szCs w:val="32"/>
        </w:rPr>
        <w:t>年度部门决算编制范围的二级预算单位包括：</w:t>
      </w:r>
    </w:p>
    <w:p w14:paraId="09EAB036">
      <w:pPr>
        <w:pStyle w:val="2"/>
        <w:keepNext w:val="0"/>
        <w:keepLines w:val="0"/>
        <w:pageBreakBefore w:val="0"/>
        <w:widowControl w:val="0"/>
        <w:numPr>
          <w:ilvl w:val="0"/>
          <w:numId w:val="0"/>
        </w:numPr>
        <w:kinsoku/>
        <w:wordWrap/>
        <w:overflowPunct/>
        <w:topLinePunct/>
        <w:autoSpaceDE w:val="0"/>
        <w:autoSpaceDN/>
        <w:bidi w:val="0"/>
        <w:adjustRightInd w:val="0"/>
        <w:snapToGrid w:val="0"/>
        <w:spacing w:before="53" w:line="357" w:lineRule="auto"/>
        <w:ind w:left="686" w:leftChars="0" w:right="-284" w:rightChars="0"/>
        <w:textAlignment w:val="baseline"/>
        <w:rPr>
          <w:rFonts w:hint="eastAsia" w:ascii="仿宋" w:hAnsi="仿宋" w:eastAsia="仿宋" w:cs="仿宋"/>
          <w:spacing w:val="0"/>
          <w:sz w:val="32"/>
          <w:szCs w:val="32"/>
        </w:rPr>
      </w:pPr>
      <w:r>
        <w:rPr>
          <w:rFonts w:hint="eastAsia" w:cs="仿宋"/>
          <w:spacing w:val="0"/>
          <w:sz w:val="32"/>
          <w:szCs w:val="32"/>
          <w:lang w:val="en-US" w:eastAsia="zh-CN"/>
        </w:rPr>
        <w:t>1、</w:t>
      </w:r>
      <w:r>
        <w:rPr>
          <w:rFonts w:hint="eastAsia" w:ascii="仿宋" w:hAnsi="仿宋" w:eastAsia="仿宋" w:cs="仿宋"/>
          <w:spacing w:val="0"/>
          <w:sz w:val="32"/>
          <w:szCs w:val="32"/>
        </w:rPr>
        <w:t>崇阳县残疾人联合会（本</w:t>
      </w:r>
      <w:r>
        <w:rPr>
          <w:rFonts w:hint="eastAsia" w:cs="仿宋"/>
          <w:spacing w:val="0"/>
          <w:sz w:val="32"/>
          <w:szCs w:val="32"/>
          <w:lang w:eastAsia="zh-CN"/>
        </w:rPr>
        <w:t>级</w:t>
      </w:r>
      <w:r>
        <w:rPr>
          <w:rFonts w:hint="eastAsia" w:ascii="仿宋" w:hAnsi="仿宋" w:eastAsia="仿宋" w:cs="仿宋"/>
          <w:spacing w:val="0"/>
          <w:sz w:val="32"/>
          <w:szCs w:val="32"/>
        </w:rPr>
        <w:t>）</w:t>
      </w:r>
    </w:p>
    <w:p w14:paraId="37A05DC0">
      <w:pPr>
        <w:pStyle w:val="2"/>
        <w:keepNext w:val="0"/>
        <w:keepLines w:val="0"/>
        <w:pageBreakBefore w:val="0"/>
        <w:widowControl w:val="0"/>
        <w:numPr>
          <w:ilvl w:val="0"/>
          <w:numId w:val="0"/>
        </w:numPr>
        <w:kinsoku/>
        <w:wordWrap/>
        <w:overflowPunct/>
        <w:topLinePunct/>
        <w:autoSpaceDE w:val="0"/>
        <w:autoSpaceDN/>
        <w:bidi w:val="0"/>
        <w:adjustRightInd w:val="0"/>
        <w:snapToGrid w:val="0"/>
        <w:spacing w:before="53" w:line="357" w:lineRule="auto"/>
        <w:ind w:right="-284" w:rightChars="0" w:firstLine="640" w:firstLineChars="20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w:t>
      </w:r>
      <w:r>
        <w:rPr>
          <w:rFonts w:hint="eastAsia" w:cs="仿宋"/>
          <w:spacing w:val="0"/>
          <w:sz w:val="32"/>
          <w:szCs w:val="32"/>
          <w:lang w:eastAsia="zh-CN"/>
        </w:rPr>
        <w:t>、</w:t>
      </w:r>
      <w:r>
        <w:rPr>
          <w:rFonts w:hint="eastAsia" w:ascii="仿宋" w:hAnsi="仿宋" w:eastAsia="仿宋" w:cs="仿宋"/>
          <w:spacing w:val="0"/>
          <w:sz w:val="32"/>
          <w:szCs w:val="32"/>
        </w:rPr>
        <w:t>崇阳县残疾人康复中心</w:t>
      </w:r>
    </w:p>
    <w:p w14:paraId="068860C4">
      <w:pPr>
        <w:keepNext w:val="0"/>
        <w:keepLines w:val="0"/>
        <w:pageBreakBefore w:val="0"/>
        <w:widowControl w:val="0"/>
        <w:kinsoku/>
        <w:wordWrap/>
        <w:overflowPunct/>
        <w:topLinePunct/>
        <w:autoSpaceDE w:val="0"/>
        <w:autoSpaceDN/>
        <w:bidi w:val="0"/>
        <w:adjustRightInd w:val="0"/>
        <w:snapToGrid w:val="0"/>
        <w:spacing w:before="48" w:line="225" w:lineRule="auto"/>
        <w:ind w:left="668"/>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3</w:t>
      </w:r>
      <w:r>
        <w:rPr>
          <w:rFonts w:hint="eastAsia" w:ascii="仿宋" w:hAnsi="仿宋" w:eastAsia="仿宋" w:cs="仿宋"/>
          <w:spacing w:val="0"/>
          <w:sz w:val="32"/>
          <w:szCs w:val="32"/>
          <w:lang w:eastAsia="zh-CN"/>
        </w:rPr>
        <w:t>、</w:t>
      </w:r>
      <w:r>
        <w:rPr>
          <w:rFonts w:hint="eastAsia" w:ascii="仿宋" w:hAnsi="仿宋" w:eastAsia="仿宋" w:cs="仿宋"/>
          <w:spacing w:val="0"/>
          <w:sz w:val="32"/>
          <w:szCs w:val="32"/>
        </w:rPr>
        <w:t>崇阳县残疾人就业服务中心</w:t>
      </w:r>
    </w:p>
    <w:p w14:paraId="1AD6E7F8">
      <w:pPr>
        <w:keepNext w:val="0"/>
        <w:keepLines w:val="0"/>
        <w:pageBreakBefore w:val="0"/>
        <w:widowControl w:val="0"/>
        <w:kinsoku/>
        <w:wordWrap/>
        <w:overflowPunct/>
        <w:topLinePunct/>
        <w:autoSpaceDE w:val="0"/>
        <w:autoSpaceDN/>
        <w:bidi w:val="0"/>
        <w:adjustRightInd w:val="0"/>
        <w:snapToGrid w:val="0"/>
        <w:spacing w:line="225" w:lineRule="auto"/>
        <w:textAlignment w:val="baseline"/>
        <w:rPr>
          <w:rFonts w:hint="eastAsia" w:ascii="仿宋" w:hAnsi="仿宋" w:eastAsia="仿宋" w:cs="仿宋"/>
          <w:spacing w:val="0"/>
          <w:sz w:val="32"/>
          <w:szCs w:val="32"/>
        </w:rPr>
        <w:sectPr>
          <w:footerReference r:id="rId7" w:type="default"/>
          <w:pgSz w:w="11906" w:h="16839"/>
          <w:pgMar w:top="1431" w:right="1501" w:bottom="1156" w:left="1785" w:header="0" w:footer="994" w:gutter="0"/>
          <w:pgNumType w:fmt="decimal"/>
          <w:cols w:space="720" w:num="1"/>
        </w:sectPr>
      </w:pPr>
    </w:p>
    <w:p w14:paraId="4FEC48C1">
      <w:pPr>
        <w:keepNext w:val="0"/>
        <w:keepLines w:val="0"/>
        <w:pageBreakBefore w:val="0"/>
        <w:widowControl w:val="0"/>
        <w:kinsoku/>
        <w:wordWrap/>
        <w:overflowPunct/>
        <w:topLinePunct/>
        <w:autoSpaceDE w:val="0"/>
        <w:autoSpaceDN/>
        <w:bidi w:val="0"/>
        <w:adjustRightInd w:val="0"/>
        <w:snapToGrid w:val="0"/>
        <w:spacing w:before="162" w:line="227"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第二部分  202</w:t>
      </w:r>
      <w:r>
        <w:rPr>
          <w:rFonts w:hint="eastAsia" w:ascii="黑体" w:hAnsi="黑体" w:eastAsia="黑体" w:cs="黑体"/>
          <w:spacing w:val="0"/>
          <w:sz w:val="31"/>
          <w:szCs w:val="31"/>
          <w:lang w:val="en-US" w:eastAsia="zh-CN"/>
        </w:rPr>
        <w:t>3</w:t>
      </w:r>
      <w:r>
        <w:rPr>
          <w:rFonts w:ascii="黑体" w:hAnsi="黑体" w:eastAsia="黑体" w:cs="黑体"/>
          <w:spacing w:val="0"/>
          <w:sz w:val="31"/>
          <w:szCs w:val="31"/>
        </w:rPr>
        <w:t xml:space="preserve"> 年度部门决算表</w:t>
      </w:r>
    </w:p>
    <w:p w14:paraId="58B3AE1E">
      <w:pPr>
        <w:keepNext w:val="0"/>
        <w:keepLines w:val="0"/>
        <w:pageBreakBefore w:val="0"/>
        <w:widowControl w:val="0"/>
        <w:kinsoku/>
        <w:wordWrap/>
        <w:overflowPunct/>
        <w:topLinePunct/>
        <w:autoSpaceDE w:val="0"/>
        <w:autoSpaceDN/>
        <w:bidi w:val="0"/>
        <w:adjustRightInd w:val="0"/>
        <w:snapToGrid w:val="0"/>
        <w:spacing w:before="303" w:line="218" w:lineRule="auto"/>
        <w:ind w:left="0" w:leftChars="0" w:right="409" w:rightChars="195" w:firstLine="418" w:firstLineChars="135"/>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一、收入支出决算总表</w:t>
      </w:r>
      <w:r>
        <w:rPr>
          <w:rFonts w:hint="eastAsia" w:ascii="黑体" w:hAnsi="黑体" w:eastAsia="黑体" w:cs="黑体"/>
          <w:spacing w:val="0"/>
          <w:sz w:val="31"/>
          <w:szCs w:val="31"/>
          <w:lang w:eastAsia="zh-CN"/>
        </w:rPr>
        <w:drawing>
          <wp:inline distT="0" distB="0" distL="114300" distR="114300">
            <wp:extent cx="5535930" cy="7402195"/>
            <wp:effectExtent l="0" t="0" r="7620" b="8255"/>
            <wp:docPr id="1" name="图片 1" descr="崇阳县残疾人联合会_Z01 收入支出决算总表(公开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崇阳县残疾人联合会_Z01 收入支出决算总表(公开01表)"/>
                    <pic:cNvPicPr>
                      <a:picLocks noChangeAspect="1"/>
                    </pic:cNvPicPr>
                  </pic:nvPicPr>
                  <pic:blipFill>
                    <a:blip r:embed="rId17"/>
                    <a:stretch>
                      <a:fillRect/>
                    </a:stretch>
                  </pic:blipFill>
                  <pic:spPr>
                    <a:xfrm>
                      <a:off x="0" y="0"/>
                      <a:ext cx="5535930" cy="7402195"/>
                    </a:xfrm>
                    <a:prstGeom prst="rect">
                      <a:avLst/>
                    </a:prstGeom>
                  </pic:spPr>
                </pic:pic>
              </a:graphicData>
            </a:graphic>
          </wp:inline>
        </w:drawing>
      </w:r>
    </w:p>
    <w:p w14:paraId="5AA38907">
      <w:pPr>
        <w:keepNext w:val="0"/>
        <w:keepLines w:val="0"/>
        <w:pageBreakBefore w:val="0"/>
        <w:widowControl w:val="0"/>
        <w:kinsoku/>
        <w:wordWrap/>
        <w:overflowPunct/>
        <w:topLinePunct/>
        <w:autoSpaceDE w:val="0"/>
        <w:autoSpaceDN/>
        <w:bidi w:val="0"/>
        <w:adjustRightInd w:val="0"/>
        <w:snapToGrid w:val="0"/>
        <w:spacing w:before="223" w:line="218" w:lineRule="auto"/>
        <w:ind w:left="672"/>
        <w:textAlignment w:val="baseline"/>
        <w:rPr>
          <w:rFonts w:ascii="黑体" w:hAnsi="黑体" w:eastAsia="黑体" w:cs="黑体"/>
          <w:spacing w:val="0"/>
          <w:sz w:val="31"/>
          <w:szCs w:val="31"/>
        </w:rPr>
      </w:pPr>
    </w:p>
    <w:p w14:paraId="4460DA6C">
      <w:pPr>
        <w:keepNext w:val="0"/>
        <w:keepLines w:val="0"/>
        <w:pageBreakBefore w:val="0"/>
        <w:widowControl w:val="0"/>
        <w:kinsoku/>
        <w:wordWrap/>
        <w:overflowPunct/>
        <w:topLinePunct/>
        <w:autoSpaceDE w:val="0"/>
        <w:autoSpaceDN/>
        <w:bidi w:val="0"/>
        <w:adjustRightInd w:val="0"/>
        <w:snapToGrid w:val="0"/>
        <w:spacing w:before="223" w:line="218" w:lineRule="auto"/>
        <w:ind w:left="672"/>
        <w:textAlignment w:val="baseline"/>
        <w:rPr>
          <w:rFonts w:ascii="黑体" w:hAnsi="黑体" w:eastAsia="黑体" w:cs="黑体"/>
          <w:spacing w:val="0"/>
          <w:sz w:val="31"/>
          <w:szCs w:val="31"/>
        </w:rPr>
      </w:pPr>
    </w:p>
    <w:p w14:paraId="7A6A24E9">
      <w:pPr>
        <w:keepNext w:val="0"/>
        <w:keepLines w:val="0"/>
        <w:pageBreakBefore w:val="0"/>
        <w:widowControl w:val="0"/>
        <w:kinsoku/>
        <w:wordWrap/>
        <w:overflowPunct/>
        <w:topLinePunct/>
        <w:autoSpaceDE w:val="0"/>
        <w:autoSpaceDN/>
        <w:bidi w:val="0"/>
        <w:adjustRightInd w:val="0"/>
        <w:snapToGrid w:val="0"/>
        <w:spacing w:before="223" w:line="218" w:lineRule="auto"/>
        <w:ind w:left="-420" w:leftChars="0" w:firstLine="415" w:firstLineChars="134"/>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二、收入决算表</w:t>
      </w:r>
      <w:r>
        <w:rPr>
          <w:rFonts w:hint="eastAsia" w:ascii="黑体" w:hAnsi="黑体" w:eastAsia="黑体" w:cs="黑体"/>
          <w:spacing w:val="0"/>
          <w:sz w:val="31"/>
          <w:szCs w:val="31"/>
          <w:lang w:eastAsia="zh-CN"/>
        </w:rPr>
        <w:drawing>
          <wp:inline distT="0" distB="0" distL="114300" distR="114300">
            <wp:extent cx="6000115" cy="8161020"/>
            <wp:effectExtent l="0" t="0" r="635" b="11430"/>
            <wp:docPr id="2" name="图片 2" descr="崇阳县残疾人联合会_Z03 收入决算表(公开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崇阳县残疾人联合会_Z03 收入决算表(公开02表)"/>
                    <pic:cNvPicPr>
                      <a:picLocks noChangeAspect="1"/>
                    </pic:cNvPicPr>
                  </pic:nvPicPr>
                  <pic:blipFill>
                    <a:blip r:embed="rId18"/>
                    <a:stretch>
                      <a:fillRect/>
                    </a:stretch>
                  </pic:blipFill>
                  <pic:spPr>
                    <a:xfrm>
                      <a:off x="0" y="0"/>
                      <a:ext cx="6000115" cy="8161020"/>
                    </a:xfrm>
                    <a:prstGeom prst="rect">
                      <a:avLst/>
                    </a:prstGeom>
                  </pic:spPr>
                </pic:pic>
              </a:graphicData>
            </a:graphic>
          </wp:inline>
        </w:drawing>
      </w:r>
    </w:p>
    <w:p w14:paraId="6659C3BC">
      <w:pPr>
        <w:keepNext w:val="0"/>
        <w:keepLines w:val="0"/>
        <w:pageBreakBefore w:val="0"/>
        <w:widowControl w:val="0"/>
        <w:kinsoku/>
        <w:wordWrap/>
        <w:overflowPunct/>
        <w:topLinePunct/>
        <w:autoSpaceDE w:val="0"/>
        <w:autoSpaceDN/>
        <w:bidi w:val="0"/>
        <w:adjustRightInd w:val="0"/>
        <w:snapToGrid w:val="0"/>
        <w:spacing w:line="7663" w:lineRule="exact"/>
        <w:textAlignment w:val="baseline"/>
        <w:rPr>
          <w:spacing w:val="0"/>
        </w:rPr>
        <w:sectPr>
          <w:footerReference r:id="rId8" w:type="default"/>
          <w:pgSz w:w="11906" w:h="16839"/>
          <w:pgMar w:top="1431" w:right="881" w:bottom="1156" w:left="1785" w:header="0" w:footer="994" w:gutter="0"/>
          <w:pgNumType w:fmt="decimal"/>
          <w:cols w:space="720" w:num="1"/>
        </w:sectPr>
      </w:pPr>
    </w:p>
    <w:p w14:paraId="038D93E6">
      <w:pPr>
        <w:keepNext w:val="0"/>
        <w:keepLines w:val="0"/>
        <w:pageBreakBefore w:val="0"/>
        <w:widowControl w:val="0"/>
        <w:kinsoku/>
        <w:wordWrap/>
        <w:overflowPunct/>
        <w:topLinePunct/>
        <w:autoSpaceDE w:val="0"/>
        <w:autoSpaceDN/>
        <w:bidi w:val="0"/>
        <w:adjustRightInd w:val="0"/>
        <w:snapToGrid w:val="0"/>
        <w:spacing w:before="223" w:line="218" w:lineRule="auto"/>
        <w:ind w:left="-199" w:leftChars="-95" w:firstLine="415" w:firstLineChars="134"/>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三、支出决算表</w:t>
      </w:r>
      <w:r>
        <w:rPr>
          <w:rFonts w:hint="eastAsia" w:ascii="黑体" w:hAnsi="黑体" w:eastAsia="黑体" w:cs="黑体"/>
          <w:spacing w:val="0"/>
          <w:sz w:val="31"/>
          <w:szCs w:val="31"/>
          <w:lang w:eastAsia="zh-CN"/>
        </w:rPr>
        <w:drawing>
          <wp:inline distT="0" distB="0" distL="114300" distR="114300">
            <wp:extent cx="6029325" cy="7358380"/>
            <wp:effectExtent l="0" t="0" r="9525" b="13970"/>
            <wp:docPr id="3" name="图片 3" descr="崇阳县残疾人联合会_Z04 支出决算表(公开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崇阳县残疾人联合会_Z04 支出决算表(公开03表)"/>
                    <pic:cNvPicPr>
                      <a:picLocks noChangeAspect="1"/>
                    </pic:cNvPicPr>
                  </pic:nvPicPr>
                  <pic:blipFill>
                    <a:blip r:embed="rId19"/>
                    <a:stretch>
                      <a:fillRect/>
                    </a:stretch>
                  </pic:blipFill>
                  <pic:spPr>
                    <a:xfrm>
                      <a:off x="0" y="0"/>
                      <a:ext cx="6029325" cy="7358380"/>
                    </a:xfrm>
                    <a:prstGeom prst="rect">
                      <a:avLst/>
                    </a:prstGeom>
                  </pic:spPr>
                </pic:pic>
              </a:graphicData>
            </a:graphic>
          </wp:inline>
        </w:drawing>
      </w:r>
    </w:p>
    <w:p w14:paraId="236B2EC7">
      <w:pPr>
        <w:keepNext w:val="0"/>
        <w:keepLines w:val="0"/>
        <w:pageBreakBefore w:val="0"/>
        <w:widowControl w:val="0"/>
        <w:kinsoku/>
        <w:wordWrap/>
        <w:overflowPunct/>
        <w:topLinePunct/>
        <w:autoSpaceDE w:val="0"/>
        <w:autoSpaceDN/>
        <w:bidi w:val="0"/>
        <w:adjustRightInd w:val="0"/>
        <w:snapToGrid w:val="0"/>
        <w:spacing w:line="7689" w:lineRule="exact"/>
        <w:textAlignment w:val="baseline"/>
        <w:rPr>
          <w:spacing w:val="0"/>
        </w:rPr>
        <w:sectPr>
          <w:footerReference r:id="rId9" w:type="default"/>
          <w:pgSz w:w="11906" w:h="16839"/>
          <w:pgMar w:top="1431" w:right="429" w:bottom="1153" w:left="1585" w:header="0" w:footer="994" w:gutter="0"/>
          <w:pgNumType w:fmt="decimal"/>
          <w:cols w:space="720" w:num="1"/>
        </w:sectPr>
      </w:pPr>
    </w:p>
    <w:p w14:paraId="60793B29">
      <w:pPr>
        <w:keepNext w:val="0"/>
        <w:keepLines w:val="0"/>
        <w:pageBreakBefore w:val="0"/>
        <w:widowControl w:val="0"/>
        <w:kinsoku/>
        <w:wordWrap/>
        <w:overflowPunct/>
        <w:topLinePunct/>
        <w:autoSpaceDE w:val="0"/>
        <w:autoSpaceDN/>
        <w:bidi w:val="0"/>
        <w:adjustRightInd w:val="0"/>
        <w:snapToGrid w:val="0"/>
        <w:spacing w:before="223" w:line="218" w:lineRule="auto"/>
        <w:ind w:left="-420" w:leftChars="-200" w:firstLine="418" w:firstLineChars="135"/>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四、财政拨款收入支出决算总表</w:t>
      </w:r>
      <w:r>
        <w:rPr>
          <w:rFonts w:hint="eastAsia" w:ascii="黑体" w:hAnsi="黑体" w:eastAsia="黑体" w:cs="黑体"/>
          <w:spacing w:val="0"/>
          <w:sz w:val="31"/>
          <w:szCs w:val="31"/>
          <w:lang w:eastAsia="zh-CN"/>
        </w:rPr>
        <w:drawing>
          <wp:inline distT="0" distB="0" distL="114300" distR="114300">
            <wp:extent cx="5984875" cy="7926705"/>
            <wp:effectExtent l="0" t="0" r="15875" b="17145"/>
            <wp:docPr id="4" name="图片 4" descr="崇阳县残疾人联合会_Z01_1 财政拨款收入支出决算总表(公开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崇阳县残疾人联合会_Z01_1 财政拨款收入支出决算总表(公开04表)"/>
                    <pic:cNvPicPr>
                      <a:picLocks noChangeAspect="1"/>
                    </pic:cNvPicPr>
                  </pic:nvPicPr>
                  <pic:blipFill>
                    <a:blip r:embed="rId20"/>
                    <a:stretch>
                      <a:fillRect/>
                    </a:stretch>
                  </pic:blipFill>
                  <pic:spPr>
                    <a:xfrm>
                      <a:off x="0" y="0"/>
                      <a:ext cx="5984875" cy="7926705"/>
                    </a:xfrm>
                    <a:prstGeom prst="rect">
                      <a:avLst/>
                    </a:prstGeom>
                  </pic:spPr>
                </pic:pic>
              </a:graphicData>
            </a:graphic>
          </wp:inline>
        </w:drawing>
      </w:r>
    </w:p>
    <w:p w14:paraId="4631D244">
      <w:pPr>
        <w:keepNext w:val="0"/>
        <w:keepLines w:val="0"/>
        <w:pageBreakBefore w:val="0"/>
        <w:widowControl w:val="0"/>
        <w:kinsoku/>
        <w:wordWrap/>
        <w:overflowPunct/>
        <w:topLinePunct/>
        <w:autoSpaceDE w:val="0"/>
        <w:autoSpaceDN/>
        <w:bidi w:val="0"/>
        <w:adjustRightInd w:val="0"/>
        <w:snapToGrid w:val="0"/>
        <w:spacing w:line="7785" w:lineRule="exact"/>
        <w:textAlignment w:val="baseline"/>
        <w:rPr>
          <w:spacing w:val="0"/>
        </w:rPr>
        <w:sectPr>
          <w:footerReference r:id="rId10" w:type="default"/>
          <w:pgSz w:w="11906" w:h="16839"/>
          <w:pgMar w:top="1431" w:right="681" w:bottom="1156" w:left="1785" w:header="0" w:footer="994" w:gutter="0"/>
          <w:pgNumType w:fmt="decimal"/>
          <w:cols w:space="720" w:num="1"/>
        </w:sectPr>
      </w:pPr>
    </w:p>
    <w:p w14:paraId="143C5DD5">
      <w:pPr>
        <w:keepNext w:val="0"/>
        <w:keepLines w:val="0"/>
        <w:pageBreakBefore w:val="0"/>
        <w:widowControl w:val="0"/>
        <w:kinsoku/>
        <w:wordWrap/>
        <w:overflowPunct/>
        <w:topLinePunct/>
        <w:autoSpaceDE w:val="0"/>
        <w:autoSpaceDN/>
        <w:bidi w:val="0"/>
        <w:adjustRightInd w:val="0"/>
        <w:snapToGrid w:val="0"/>
        <w:spacing w:before="223" w:line="218" w:lineRule="auto"/>
        <w:ind w:left="-420" w:leftChars="0" w:firstLine="638" w:firstLineChars="206"/>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五、一般公共预算财政拨款支出决算表</w:t>
      </w:r>
      <w:r>
        <w:rPr>
          <w:rFonts w:hint="eastAsia" w:ascii="黑体" w:hAnsi="黑体" w:eastAsia="黑体" w:cs="黑体"/>
          <w:spacing w:val="0"/>
          <w:sz w:val="31"/>
          <w:szCs w:val="31"/>
          <w:lang w:eastAsia="zh-CN"/>
        </w:rPr>
        <w:drawing>
          <wp:inline distT="0" distB="0" distL="114300" distR="114300">
            <wp:extent cx="6050280" cy="7244715"/>
            <wp:effectExtent l="0" t="0" r="7620" b="13335"/>
            <wp:docPr id="5" name="图片 5" descr="崇阳县残疾人联合会_Z07 一般公共预算财政拨款支出决算表(公开05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崇阳县残疾人联合会_Z07 一般公共预算财政拨款支出决算表(公开05表)"/>
                    <pic:cNvPicPr>
                      <a:picLocks noChangeAspect="1"/>
                    </pic:cNvPicPr>
                  </pic:nvPicPr>
                  <pic:blipFill>
                    <a:blip r:embed="rId21"/>
                    <a:stretch>
                      <a:fillRect/>
                    </a:stretch>
                  </pic:blipFill>
                  <pic:spPr>
                    <a:xfrm>
                      <a:off x="0" y="0"/>
                      <a:ext cx="6050280" cy="7244715"/>
                    </a:xfrm>
                    <a:prstGeom prst="rect">
                      <a:avLst/>
                    </a:prstGeom>
                  </pic:spPr>
                </pic:pic>
              </a:graphicData>
            </a:graphic>
          </wp:inline>
        </w:drawing>
      </w:r>
    </w:p>
    <w:p w14:paraId="1EF9F451">
      <w:pPr>
        <w:keepNext w:val="0"/>
        <w:keepLines w:val="0"/>
        <w:pageBreakBefore w:val="0"/>
        <w:widowControl w:val="0"/>
        <w:kinsoku/>
        <w:wordWrap/>
        <w:overflowPunct/>
        <w:topLinePunct/>
        <w:autoSpaceDE w:val="0"/>
        <w:autoSpaceDN/>
        <w:bidi w:val="0"/>
        <w:adjustRightInd w:val="0"/>
        <w:snapToGrid w:val="0"/>
        <w:spacing w:line="10087" w:lineRule="exact"/>
        <w:textAlignment w:val="baseline"/>
        <w:rPr>
          <w:spacing w:val="0"/>
        </w:rPr>
        <w:sectPr>
          <w:footerReference r:id="rId11" w:type="default"/>
          <w:pgSz w:w="11906" w:h="16839"/>
          <w:pgMar w:top="1431" w:right="577" w:bottom="1156" w:left="1785" w:header="0" w:footer="994" w:gutter="0"/>
          <w:pgNumType w:fmt="decimal"/>
          <w:cols w:space="720" w:num="1"/>
        </w:sectPr>
      </w:pPr>
    </w:p>
    <w:p w14:paraId="0CB8C804">
      <w:pPr>
        <w:keepNext w:val="0"/>
        <w:keepLines w:val="0"/>
        <w:pageBreakBefore w:val="0"/>
        <w:widowControl w:val="0"/>
        <w:kinsoku/>
        <w:wordWrap/>
        <w:overflowPunct/>
        <w:topLinePunct/>
        <w:autoSpaceDE w:val="0"/>
        <w:autoSpaceDN/>
        <w:bidi w:val="0"/>
        <w:adjustRightInd w:val="0"/>
        <w:snapToGrid w:val="0"/>
        <w:spacing w:before="223" w:line="218" w:lineRule="auto"/>
        <w:ind w:left="-420" w:leftChars="0" w:firstLine="0" w:firstLineChars="0"/>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六、一般公共预算财政拨款基本支出决算明细表</w:t>
      </w:r>
      <w:r>
        <w:rPr>
          <w:rFonts w:hint="eastAsia" w:ascii="黑体" w:hAnsi="黑体" w:eastAsia="黑体" w:cs="黑体"/>
          <w:spacing w:val="0"/>
          <w:sz w:val="31"/>
          <w:szCs w:val="31"/>
          <w:lang w:eastAsia="zh-CN"/>
        </w:rPr>
        <w:drawing>
          <wp:inline distT="0" distB="0" distL="114300" distR="114300">
            <wp:extent cx="6167120" cy="7144385"/>
            <wp:effectExtent l="0" t="0" r="5080" b="18415"/>
            <wp:docPr id="6" name="图片 6" descr="崇阳县残疾人联合会_Z08_1 一般公共预算财政拨款基本支出决算明细表(公开06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崇阳县残疾人联合会_Z08_1 一般公共预算财政拨款基本支出决算明细表(公开06表"/>
                    <pic:cNvPicPr>
                      <a:picLocks noChangeAspect="1"/>
                    </pic:cNvPicPr>
                  </pic:nvPicPr>
                  <pic:blipFill>
                    <a:blip r:embed="rId22"/>
                    <a:stretch>
                      <a:fillRect/>
                    </a:stretch>
                  </pic:blipFill>
                  <pic:spPr>
                    <a:xfrm>
                      <a:off x="0" y="0"/>
                      <a:ext cx="6167120" cy="7144385"/>
                    </a:xfrm>
                    <a:prstGeom prst="rect">
                      <a:avLst/>
                    </a:prstGeom>
                  </pic:spPr>
                </pic:pic>
              </a:graphicData>
            </a:graphic>
          </wp:inline>
        </w:drawing>
      </w:r>
    </w:p>
    <w:p w14:paraId="7E4D4CA0">
      <w:pPr>
        <w:keepNext w:val="0"/>
        <w:keepLines w:val="0"/>
        <w:pageBreakBefore w:val="0"/>
        <w:widowControl w:val="0"/>
        <w:kinsoku/>
        <w:wordWrap/>
        <w:overflowPunct/>
        <w:topLinePunct/>
        <w:autoSpaceDE w:val="0"/>
        <w:autoSpaceDN/>
        <w:bidi w:val="0"/>
        <w:adjustRightInd w:val="0"/>
        <w:snapToGrid w:val="0"/>
        <w:spacing w:before="223" w:line="218" w:lineRule="auto"/>
        <w:ind w:left="666"/>
        <w:textAlignment w:val="baseline"/>
        <w:rPr>
          <w:rFonts w:ascii="黑体" w:hAnsi="黑体" w:eastAsia="黑体" w:cs="黑体"/>
          <w:spacing w:val="0"/>
          <w:sz w:val="31"/>
          <w:szCs w:val="31"/>
        </w:rPr>
      </w:pPr>
    </w:p>
    <w:p w14:paraId="4B801193">
      <w:pPr>
        <w:keepNext w:val="0"/>
        <w:keepLines w:val="0"/>
        <w:pageBreakBefore w:val="0"/>
        <w:widowControl w:val="0"/>
        <w:kinsoku/>
        <w:wordWrap/>
        <w:overflowPunct/>
        <w:topLinePunct/>
        <w:autoSpaceDE w:val="0"/>
        <w:autoSpaceDN/>
        <w:bidi w:val="0"/>
        <w:adjustRightInd w:val="0"/>
        <w:snapToGrid w:val="0"/>
        <w:spacing w:before="223" w:line="218" w:lineRule="auto"/>
        <w:ind w:left="666"/>
        <w:textAlignment w:val="baseline"/>
        <w:rPr>
          <w:rFonts w:ascii="黑体" w:hAnsi="黑体" w:eastAsia="黑体" w:cs="黑体"/>
          <w:spacing w:val="0"/>
          <w:sz w:val="31"/>
          <w:szCs w:val="31"/>
        </w:rPr>
      </w:pPr>
    </w:p>
    <w:p w14:paraId="5BD0334D">
      <w:pPr>
        <w:keepNext w:val="0"/>
        <w:keepLines w:val="0"/>
        <w:pageBreakBefore w:val="0"/>
        <w:widowControl w:val="0"/>
        <w:kinsoku/>
        <w:wordWrap/>
        <w:overflowPunct/>
        <w:topLinePunct/>
        <w:autoSpaceDE w:val="0"/>
        <w:autoSpaceDN/>
        <w:bidi w:val="0"/>
        <w:adjustRightInd w:val="0"/>
        <w:snapToGrid w:val="0"/>
        <w:spacing w:before="223" w:line="218" w:lineRule="auto"/>
        <w:ind w:left="666"/>
        <w:textAlignment w:val="baseline"/>
        <w:rPr>
          <w:rFonts w:ascii="黑体" w:hAnsi="黑体" w:eastAsia="黑体" w:cs="黑体"/>
          <w:spacing w:val="0"/>
          <w:sz w:val="31"/>
          <w:szCs w:val="31"/>
        </w:rPr>
      </w:pPr>
    </w:p>
    <w:p w14:paraId="11DAE884">
      <w:pPr>
        <w:keepNext w:val="0"/>
        <w:keepLines w:val="0"/>
        <w:pageBreakBefore w:val="0"/>
        <w:widowControl w:val="0"/>
        <w:kinsoku/>
        <w:wordWrap/>
        <w:overflowPunct/>
        <w:topLinePunct/>
        <w:autoSpaceDE w:val="0"/>
        <w:autoSpaceDN/>
        <w:bidi w:val="0"/>
        <w:adjustRightInd w:val="0"/>
        <w:snapToGrid w:val="0"/>
        <w:spacing w:before="223" w:line="218" w:lineRule="auto"/>
        <w:ind w:left="666"/>
        <w:textAlignment w:val="baseline"/>
        <w:rPr>
          <w:rFonts w:ascii="黑体" w:hAnsi="黑体" w:eastAsia="黑体" w:cs="黑体"/>
          <w:spacing w:val="0"/>
          <w:sz w:val="31"/>
          <w:szCs w:val="31"/>
        </w:rPr>
      </w:pPr>
    </w:p>
    <w:p w14:paraId="57528874">
      <w:pPr>
        <w:keepNext w:val="0"/>
        <w:keepLines w:val="0"/>
        <w:pageBreakBefore w:val="0"/>
        <w:widowControl w:val="0"/>
        <w:numPr>
          <w:ilvl w:val="0"/>
          <w:numId w:val="0"/>
        </w:numPr>
        <w:kinsoku/>
        <w:wordWrap/>
        <w:overflowPunct/>
        <w:topLinePunct/>
        <w:autoSpaceDE w:val="0"/>
        <w:autoSpaceDN/>
        <w:bidi w:val="0"/>
        <w:adjustRightInd w:val="0"/>
        <w:snapToGrid w:val="0"/>
        <w:spacing w:before="223" w:line="218" w:lineRule="auto"/>
        <w:ind w:left="-420" w:leftChars="-200" w:firstLine="424" w:firstLineChars="137"/>
        <w:textAlignment w:val="baseline"/>
        <w:rPr>
          <w:spacing w:val="0"/>
        </w:rPr>
      </w:pPr>
      <w:r>
        <w:rPr>
          <w:rFonts w:hint="eastAsia" w:ascii="黑体" w:hAnsi="黑体" w:eastAsia="黑体" w:cs="黑体"/>
          <w:spacing w:val="0"/>
          <w:sz w:val="31"/>
          <w:szCs w:val="31"/>
          <w:lang w:eastAsia="zh-CN"/>
        </w:rPr>
        <w:t>七、</w:t>
      </w:r>
      <w:r>
        <w:rPr>
          <w:rFonts w:ascii="黑体" w:hAnsi="黑体" w:eastAsia="黑体" w:cs="黑体"/>
          <w:spacing w:val="0"/>
          <w:sz w:val="31"/>
          <w:szCs w:val="31"/>
        </w:rPr>
        <w:t>一般公共预算财政拨款“三公 ”经费支出决算表</w:t>
      </w:r>
      <w:r>
        <w:rPr>
          <w:rFonts w:hint="eastAsia" w:ascii="黑体" w:hAnsi="黑体" w:eastAsia="黑体" w:cs="黑体"/>
          <w:spacing w:val="0"/>
          <w:sz w:val="31"/>
          <w:szCs w:val="31"/>
          <w:lang w:eastAsia="zh-CN"/>
        </w:rPr>
        <w:drawing>
          <wp:inline distT="0" distB="0" distL="114300" distR="114300">
            <wp:extent cx="5948680" cy="2361565"/>
            <wp:effectExtent l="0" t="0" r="13970" b="635"/>
            <wp:docPr id="7" name="图片 7" descr="崇阳县残疾人联合会_F03 财政拨款“三公”经费支出决算表(公开09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崇阳县残疾人联合会_F03 财政拨款“三公”经费支出决算表(公开09表)"/>
                    <pic:cNvPicPr>
                      <a:picLocks noChangeAspect="1"/>
                    </pic:cNvPicPr>
                  </pic:nvPicPr>
                  <pic:blipFill>
                    <a:blip r:embed="rId23"/>
                    <a:stretch>
                      <a:fillRect/>
                    </a:stretch>
                  </pic:blipFill>
                  <pic:spPr>
                    <a:xfrm>
                      <a:off x="0" y="0"/>
                      <a:ext cx="5948680" cy="2361565"/>
                    </a:xfrm>
                    <a:prstGeom prst="rect">
                      <a:avLst/>
                    </a:prstGeom>
                  </pic:spPr>
                </pic:pic>
              </a:graphicData>
            </a:graphic>
          </wp:inline>
        </w:drawing>
      </w:r>
    </w:p>
    <w:p w14:paraId="1020DD8D">
      <w:pPr>
        <w:keepNext w:val="0"/>
        <w:keepLines w:val="0"/>
        <w:pageBreakBefore w:val="0"/>
        <w:widowControl w:val="0"/>
        <w:kinsoku/>
        <w:wordWrap/>
        <w:overflowPunct/>
        <w:topLinePunct/>
        <w:autoSpaceDE w:val="0"/>
        <w:autoSpaceDN/>
        <w:bidi w:val="0"/>
        <w:adjustRightInd w:val="0"/>
        <w:snapToGrid w:val="0"/>
        <w:spacing w:before="214" w:line="227" w:lineRule="auto"/>
        <w:textAlignment w:val="baseline"/>
        <w:rPr>
          <w:rFonts w:ascii="黑体" w:hAnsi="黑体" w:eastAsia="黑体" w:cs="黑体"/>
          <w:spacing w:val="0"/>
          <w:sz w:val="2"/>
          <w:szCs w:val="2"/>
        </w:rPr>
      </w:pPr>
    </w:p>
    <w:p w14:paraId="11A4155D">
      <w:pPr>
        <w:keepNext w:val="0"/>
        <w:keepLines w:val="0"/>
        <w:pageBreakBefore w:val="0"/>
        <w:widowControl w:val="0"/>
        <w:kinsoku/>
        <w:wordWrap/>
        <w:overflowPunct/>
        <w:topLinePunct/>
        <w:autoSpaceDE w:val="0"/>
        <w:autoSpaceDN/>
        <w:bidi w:val="0"/>
        <w:adjustRightInd w:val="0"/>
        <w:snapToGrid w:val="0"/>
        <w:spacing w:before="214" w:line="227" w:lineRule="auto"/>
        <w:ind w:left="-420" w:leftChars="-200" w:firstLine="310" w:firstLineChars="100"/>
        <w:textAlignment w:val="baseline"/>
        <w:rPr>
          <w:rFonts w:hint="eastAsia" w:ascii="黑体" w:hAnsi="黑体" w:eastAsia="黑体" w:cs="黑体"/>
          <w:spacing w:val="0"/>
          <w:sz w:val="31"/>
          <w:szCs w:val="31"/>
          <w:lang w:eastAsia="zh-CN"/>
        </w:rPr>
      </w:pPr>
      <w:r>
        <w:rPr>
          <w:rFonts w:ascii="黑体" w:hAnsi="黑体" w:eastAsia="黑体" w:cs="黑体"/>
          <w:spacing w:val="0"/>
          <w:sz w:val="31"/>
          <w:szCs w:val="31"/>
        </w:rPr>
        <w:t>八、政府性基金预算财政拨款收入支出决算表</w:t>
      </w:r>
      <w:r>
        <w:rPr>
          <w:rFonts w:hint="eastAsia" w:ascii="黑体" w:hAnsi="黑体" w:eastAsia="黑体" w:cs="黑体"/>
          <w:spacing w:val="0"/>
          <w:sz w:val="31"/>
          <w:szCs w:val="31"/>
          <w:lang w:eastAsia="zh-CN"/>
        </w:rPr>
        <w:drawing>
          <wp:inline distT="0" distB="0" distL="114300" distR="114300">
            <wp:extent cx="5960745" cy="2600325"/>
            <wp:effectExtent l="0" t="0" r="1905" b="9525"/>
            <wp:docPr id="8" name="图片 8" descr="崇阳县残疾人联合会_Z09 政府性基金预算财政拨款收入支出决算表(公开07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崇阳县残疾人联合会_Z09 政府性基金预算财政拨款收入支出决算表(公开07表)"/>
                    <pic:cNvPicPr>
                      <a:picLocks noChangeAspect="1"/>
                    </pic:cNvPicPr>
                  </pic:nvPicPr>
                  <pic:blipFill>
                    <a:blip r:embed="rId24"/>
                    <a:stretch>
                      <a:fillRect/>
                    </a:stretch>
                  </pic:blipFill>
                  <pic:spPr>
                    <a:xfrm>
                      <a:off x="0" y="0"/>
                      <a:ext cx="5960745" cy="2600325"/>
                    </a:xfrm>
                    <a:prstGeom prst="rect">
                      <a:avLst/>
                    </a:prstGeom>
                  </pic:spPr>
                </pic:pic>
              </a:graphicData>
            </a:graphic>
          </wp:inline>
        </w:drawing>
      </w:r>
    </w:p>
    <w:p w14:paraId="10B31D64">
      <w:pPr>
        <w:keepNext w:val="0"/>
        <w:keepLines w:val="0"/>
        <w:pageBreakBefore w:val="0"/>
        <w:widowControl w:val="0"/>
        <w:kinsoku/>
        <w:wordWrap/>
        <w:overflowPunct/>
        <w:topLinePunct/>
        <w:autoSpaceDE w:val="0"/>
        <w:autoSpaceDN/>
        <w:bidi w:val="0"/>
        <w:adjustRightInd w:val="0"/>
        <w:snapToGrid w:val="0"/>
        <w:spacing w:before="238" w:line="227" w:lineRule="auto"/>
        <w:ind w:left="-420" w:leftChars="0" w:firstLine="0" w:firstLineChars="0"/>
        <w:textAlignment w:val="baseline"/>
        <w:rPr>
          <w:rFonts w:ascii="黑体" w:hAnsi="黑体" w:eastAsia="黑体" w:cs="黑体"/>
          <w:spacing w:val="0"/>
          <w:sz w:val="20"/>
          <w:szCs w:val="20"/>
        </w:rPr>
      </w:pPr>
    </w:p>
    <w:p w14:paraId="36088952">
      <w:pPr>
        <w:keepNext w:val="0"/>
        <w:keepLines w:val="0"/>
        <w:pageBreakBefore w:val="0"/>
        <w:widowControl w:val="0"/>
        <w:kinsoku/>
        <w:wordWrap/>
        <w:overflowPunct/>
        <w:topLinePunct/>
        <w:autoSpaceDE w:val="0"/>
        <w:autoSpaceDN/>
        <w:bidi w:val="0"/>
        <w:adjustRightInd w:val="0"/>
        <w:snapToGrid w:val="0"/>
        <w:spacing w:before="238" w:line="227" w:lineRule="auto"/>
        <w:ind w:left="-420" w:leftChars="0" w:firstLine="310" w:firstLineChars="100"/>
        <w:textAlignment w:val="baseline"/>
        <w:rPr>
          <w:spacing w:val="0"/>
        </w:rPr>
      </w:pPr>
      <w:r>
        <w:rPr>
          <w:rFonts w:ascii="黑体" w:hAnsi="黑体" w:eastAsia="黑体" w:cs="黑体"/>
          <w:spacing w:val="0"/>
          <w:sz w:val="31"/>
          <w:szCs w:val="31"/>
        </w:rPr>
        <w:t>九、国有资本经营预算财政拨款支出决算</w:t>
      </w:r>
      <w:r>
        <w:rPr>
          <w:rFonts w:hint="eastAsia" w:eastAsia="宋体"/>
          <w:spacing w:val="0"/>
          <w:lang w:eastAsia="zh-CN"/>
        </w:rPr>
        <w:drawing>
          <wp:inline distT="0" distB="0" distL="114300" distR="114300">
            <wp:extent cx="5927090" cy="2399665"/>
            <wp:effectExtent l="0" t="0" r="16510" b="635"/>
            <wp:docPr id="9" name="图片 9" descr="崇阳县残疾人联合会_Z11 国有资本经营预算财政拨款支出决算表(公开08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崇阳县残疾人联合会_Z11 国有资本经营预算财政拨款支出决算表(公开08表)"/>
                    <pic:cNvPicPr>
                      <a:picLocks noChangeAspect="1"/>
                    </pic:cNvPicPr>
                  </pic:nvPicPr>
                  <pic:blipFill>
                    <a:blip r:embed="rId25"/>
                    <a:stretch>
                      <a:fillRect/>
                    </a:stretch>
                  </pic:blipFill>
                  <pic:spPr>
                    <a:xfrm>
                      <a:off x="0" y="0"/>
                      <a:ext cx="5927090" cy="2399665"/>
                    </a:xfrm>
                    <a:prstGeom prst="rect">
                      <a:avLst/>
                    </a:prstGeom>
                  </pic:spPr>
                </pic:pic>
              </a:graphicData>
            </a:graphic>
          </wp:inline>
        </w:drawing>
      </w:r>
    </w:p>
    <w:p w14:paraId="7D22F65B">
      <w:pPr>
        <w:keepNext w:val="0"/>
        <w:keepLines w:val="0"/>
        <w:pageBreakBefore w:val="0"/>
        <w:widowControl w:val="0"/>
        <w:kinsoku/>
        <w:wordWrap/>
        <w:overflowPunct/>
        <w:topLinePunct/>
        <w:autoSpaceDE w:val="0"/>
        <w:autoSpaceDN/>
        <w:bidi w:val="0"/>
        <w:adjustRightInd w:val="0"/>
        <w:snapToGrid w:val="0"/>
        <w:spacing w:line="4971" w:lineRule="exact"/>
        <w:textAlignment w:val="baseline"/>
        <w:rPr>
          <w:rFonts w:hint="eastAsia" w:eastAsia="宋体"/>
          <w:spacing w:val="0"/>
          <w:lang w:eastAsia="zh-CN"/>
        </w:rPr>
        <w:sectPr>
          <w:footerReference r:id="rId12" w:type="default"/>
          <w:pgSz w:w="11906" w:h="16839"/>
          <w:pgMar w:top="1431" w:right="470" w:bottom="908" w:left="1785" w:header="0" w:footer="994" w:gutter="0"/>
          <w:pgNumType w:fmt="decimal"/>
          <w:cols w:space="720" w:num="1"/>
        </w:sectPr>
      </w:pPr>
    </w:p>
    <w:p w14:paraId="7389C9C5">
      <w:pPr>
        <w:keepNext w:val="0"/>
        <w:keepLines w:val="0"/>
        <w:pageBreakBefore w:val="0"/>
        <w:widowControl w:val="0"/>
        <w:kinsoku/>
        <w:wordWrap/>
        <w:overflowPunct/>
        <w:topLinePunct/>
        <w:autoSpaceDE w:val="0"/>
        <w:autoSpaceDN/>
        <w:bidi w:val="0"/>
        <w:adjustRightInd w:val="0"/>
        <w:snapToGrid w:val="0"/>
        <w:spacing w:before="163" w:line="226"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第三部分  202</w:t>
      </w:r>
      <w:r>
        <w:rPr>
          <w:rFonts w:hint="eastAsia" w:ascii="黑体" w:hAnsi="黑体" w:eastAsia="黑体" w:cs="黑体"/>
          <w:spacing w:val="0"/>
          <w:sz w:val="31"/>
          <w:szCs w:val="31"/>
          <w:lang w:val="en-US" w:eastAsia="zh-CN"/>
        </w:rPr>
        <w:t>3</w:t>
      </w:r>
      <w:r>
        <w:rPr>
          <w:rFonts w:ascii="黑体" w:hAnsi="黑体" w:eastAsia="黑体" w:cs="黑体"/>
          <w:spacing w:val="0"/>
          <w:sz w:val="31"/>
          <w:szCs w:val="31"/>
        </w:rPr>
        <w:t>年度部门决算情况说明</w:t>
      </w:r>
    </w:p>
    <w:p w14:paraId="3A97179F">
      <w:pPr>
        <w:keepNext w:val="0"/>
        <w:keepLines w:val="0"/>
        <w:pageBreakBefore w:val="0"/>
        <w:widowControl w:val="0"/>
        <w:kinsoku/>
        <w:wordWrap/>
        <w:overflowPunct/>
        <w:topLinePunct/>
        <w:autoSpaceDE w:val="0"/>
        <w:autoSpaceDN/>
        <w:bidi w:val="0"/>
        <w:adjustRightInd w:val="0"/>
        <w:snapToGrid w:val="0"/>
        <w:spacing w:before="304" w:line="226" w:lineRule="auto"/>
        <w:ind w:left="672"/>
        <w:textAlignment w:val="baseline"/>
        <w:rPr>
          <w:rFonts w:ascii="黑体" w:hAnsi="黑体" w:eastAsia="黑体" w:cs="黑体"/>
          <w:spacing w:val="0"/>
          <w:sz w:val="31"/>
          <w:szCs w:val="31"/>
        </w:rPr>
      </w:pPr>
      <w:r>
        <w:rPr>
          <w:rFonts w:ascii="黑体" w:hAnsi="黑体" w:eastAsia="黑体" w:cs="黑体"/>
          <w:spacing w:val="0"/>
          <w:sz w:val="31"/>
          <w:szCs w:val="31"/>
        </w:rPr>
        <w:t>一、收入支出决算总体情况说明</w:t>
      </w:r>
    </w:p>
    <w:p w14:paraId="73BB19A7">
      <w:pPr>
        <w:pStyle w:val="2"/>
        <w:keepNext w:val="0"/>
        <w:keepLines w:val="0"/>
        <w:pageBreakBefore w:val="0"/>
        <w:widowControl w:val="0"/>
        <w:kinsoku/>
        <w:wordWrap/>
        <w:overflowPunct/>
        <w:topLinePunct/>
        <w:autoSpaceDE w:val="0"/>
        <w:autoSpaceDN/>
        <w:bidi w:val="0"/>
        <w:adjustRightInd w:val="0"/>
        <w:snapToGrid w:val="0"/>
        <w:spacing w:before="129" w:line="295" w:lineRule="auto"/>
        <w:ind w:left="26" w:right="70" w:firstLine="653"/>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ascii="仿宋" w:hAnsi="仿宋" w:eastAsia="仿宋" w:cs="仿宋"/>
          <w:color w:val="000000" w:themeColor="text1"/>
          <w:spacing w:val="0"/>
          <w:sz w:val="32"/>
          <w:szCs w:val="32"/>
          <w14:textFill>
            <w14:solidFill>
              <w14:schemeClr w14:val="tx1"/>
            </w14:solidFill>
          </w14:textFill>
        </w:rPr>
        <w:t>202</w:t>
      </w:r>
      <w:r>
        <w:rPr>
          <w:rFonts w:hint="eastAsia" w:ascii="仿宋" w:hAnsi="仿宋" w:eastAsia="仿宋" w:cs="仿宋"/>
          <w:color w:val="000000" w:themeColor="text1"/>
          <w:spacing w:val="0"/>
          <w:sz w:val="32"/>
          <w:szCs w:val="32"/>
          <w:lang w:val="en-US" w:eastAsia="zh-CN"/>
          <w14:textFill>
            <w14:solidFill>
              <w14:schemeClr w14:val="tx1"/>
            </w14:solidFill>
          </w14:textFill>
        </w:rPr>
        <w:t>3</w:t>
      </w:r>
      <w:r>
        <w:rPr>
          <w:rFonts w:hint="eastAsia" w:ascii="仿宋" w:hAnsi="仿宋" w:eastAsia="仿宋" w:cs="仿宋"/>
          <w:color w:val="000000" w:themeColor="text1"/>
          <w:spacing w:val="0"/>
          <w:sz w:val="32"/>
          <w:szCs w:val="32"/>
          <w14:textFill>
            <w14:solidFill>
              <w14:schemeClr w14:val="tx1"/>
            </w14:solidFill>
          </w14:textFill>
        </w:rPr>
        <w:t>年度收、支总计均为</w:t>
      </w:r>
      <w:r>
        <w:rPr>
          <w:rFonts w:hint="eastAsia" w:cs="仿宋"/>
          <w:color w:val="000000" w:themeColor="text1"/>
          <w:spacing w:val="0"/>
          <w:sz w:val="32"/>
          <w:szCs w:val="32"/>
          <w:lang w:val="en-US" w:eastAsia="zh-CN"/>
          <w14:textFill>
            <w14:solidFill>
              <w14:schemeClr w14:val="tx1"/>
            </w14:solidFill>
          </w14:textFill>
        </w:rPr>
        <w:t>2045.98</w:t>
      </w:r>
      <w:r>
        <w:rPr>
          <w:rFonts w:hint="eastAsia" w:ascii="仿宋" w:hAnsi="仿宋" w:eastAsia="仿宋" w:cs="仿宋"/>
          <w:color w:val="000000" w:themeColor="text1"/>
          <w:spacing w:val="0"/>
          <w:sz w:val="32"/>
          <w:szCs w:val="32"/>
          <w14:textFill>
            <w14:solidFill>
              <w14:schemeClr w14:val="tx1"/>
            </w14:solidFill>
          </w14:textFill>
        </w:rPr>
        <w:t>万元。与202</w:t>
      </w:r>
      <w:r>
        <w:rPr>
          <w:rFonts w:hint="eastAsia" w:ascii="仿宋" w:hAnsi="仿宋" w:eastAsia="仿宋" w:cs="仿宋"/>
          <w:color w:val="000000" w:themeColor="text1"/>
          <w:spacing w:val="0"/>
          <w:sz w:val="32"/>
          <w:szCs w:val="32"/>
          <w:lang w:val="en-US" w:eastAsia="zh-CN"/>
          <w14:textFill>
            <w14:solidFill>
              <w14:schemeClr w14:val="tx1"/>
            </w14:solidFill>
          </w14:textFill>
        </w:rPr>
        <w:t>2</w:t>
      </w:r>
      <w:r>
        <w:rPr>
          <w:rFonts w:hint="eastAsia" w:ascii="仿宋" w:hAnsi="仿宋" w:eastAsia="仿宋" w:cs="仿宋"/>
          <w:color w:val="000000" w:themeColor="text1"/>
          <w:spacing w:val="0"/>
          <w:sz w:val="32"/>
          <w:szCs w:val="32"/>
          <w14:textFill>
            <w14:solidFill>
              <w14:schemeClr w14:val="tx1"/>
            </w14:solidFill>
          </w14:textFill>
        </w:rPr>
        <w:t>年度相比，收、支总计各</w:t>
      </w:r>
      <w:r>
        <w:rPr>
          <w:rFonts w:hint="eastAsia" w:cs="仿宋"/>
          <w:color w:val="000000" w:themeColor="text1"/>
          <w:spacing w:val="0"/>
          <w:sz w:val="32"/>
          <w:szCs w:val="32"/>
          <w:lang w:eastAsia="zh-CN"/>
          <w14:textFill>
            <w14:solidFill>
              <w14:schemeClr w14:val="tx1"/>
            </w14:solidFill>
          </w14:textFill>
        </w:rPr>
        <w:t>增长</w:t>
      </w:r>
      <w:r>
        <w:rPr>
          <w:rFonts w:hint="eastAsia" w:cs="仿宋"/>
          <w:color w:val="000000" w:themeColor="text1"/>
          <w:spacing w:val="0"/>
          <w:sz w:val="32"/>
          <w:szCs w:val="32"/>
          <w:lang w:val="en-US" w:eastAsia="zh-CN"/>
          <w14:textFill>
            <w14:solidFill>
              <w14:schemeClr w14:val="tx1"/>
            </w14:solidFill>
          </w14:textFill>
        </w:rPr>
        <w:t>248.27</w:t>
      </w:r>
      <w:r>
        <w:rPr>
          <w:rFonts w:hint="eastAsia" w:ascii="仿宋" w:hAnsi="仿宋" w:eastAsia="仿宋" w:cs="仿宋"/>
          <w:color w:val="000000" w:themeColor="text1"/>
          <w:spacing w:val="0"/>
          <w:sz w:val="32"/>
          <w:szCs w:val="32"/>
          <w14:textFill>
            <w14:solidFill>
              <w14:schemeClr w14:val="tx1"/>
            </w14:solidFill>
          </w14:textFill>
        </w:rPr>
        <w:t>万元，</w:t>
      </w:r>
      <w:r>
        <w:rPr>
          <w:rFonts w:hint="eastAsia" w:cs="仿宋"/>
          <w:color w:val="000000" w:themeColor="text1"/>
          <w:spacing w:val="0"/>
          <w:sz w:val="32"/>
          <w:szCs w:val="32"/>
          <w:lang w:eastAsia="zh-CN"/>
          <w14:textFill>
            <w14:solidFill>
              <w14:schemeClr w14:val="tx1"/>
            </w14:solidFill>
          </w14:textFill>
        </w:rPr>
        <w:t>增长</w:t>
      </w:r>
      <w:r>
        <w:rPr>
          <w:rFonts w:hint="eastAsia" w:cs="仿宋"/>
          <w:color w:val="000000" w:themeColor="text1"/>
          <w:spacing w:val="0"/>
          <w:sz w:val="32"/>
          <w:szCs w:val="32"/>
          <w:lang w:val="en-US" w:eastAsia="zh-CN"/>
          <w14:textFill>
            <w14:solidFill>
              <w14:schemeClr w14:val="tx1"/>
            </w14:solidFill>
          </w14:textFill>
        </w:rPr>
        <w:t>13.81</w:t>
      </w:r>
      <w:r>
        <w:rPr>
          <w:rFonts w:hint="eastAsia" w:ascii="仿宋" w:hAnsi="仿宋" w:eastAsia="仿宋" w:cs="仿宋"/>
          <w:color w:val="000000" w:themeColor="text1"/>
          <w:spacing w:val="0"/>
          <w:sz w:val="32"/>
          <w:szCs w:val="32"/>
          <w14:textFill>
            <w14:solidFill>
              <w14:schemeClr w14:val="tx1"/>
            </w14:solidFill>
          </w14:textFill>
        </w:rPr>
        <w:t>% ，主要原因是支出增加的主要原因是</w:t>
      </w:r>
      <w:r>
        <w:rPr>
          <w:rFonts w:hint="eastAsia" w:cs="仿宋"/>
          <w:color w:val="000000" w:themeColor="text1"/>
          <w:spacing w:val="0"/>
          <w:sz w:val="32"/>
          <w:szCs w:val="32"/>
          <w:lang w:eastAsia="zh-CN"/>
          <w14:textFill>
            <w14:solidFill>
              <w14:schemeClr w14:val="tx1"/>
            </w14:solidFill>
          </w14:textFill>
        </w:rPr>
        <w:t>拨付</w:t>
      </w:r>
      <w:r>
        <w:rPr>
          <w:rFonts w:hint="eastAsia" w:ascii="仿宋" w:hAnsi="仿宋" w:eastAsia="仿宋" w:cs="仿宋"/>
          <w:color w:val="000000" w:themeColor="text1"/>
          <w:spacing w:val="0"/>
          <w:sz w:val="32"/>
          <w:szCs w:val="32"/>
          <w14:textFill>
            <w14:solidFill>
              <w14:schemeClr w14:val="tx1"/>
            </w14:solidFill>
          </w14:textFill>
        </w:rPr>
        <w:t>康复中心项目建设</w:t>
      </w:r>
      <w:r>
        <w:rPr>
          <w:rFonts w:hint="eastAsia" w:cs="仿宋"/>
          <w:color w:val="000000" w:themeColor="text1"/>
          <w:spacing w:val="0"/>
          <w:sz w:val="32"/>
          <w:szCs w:val="32"/>
          <w:lang w:eastAsia="zh-CN"/>
          <w14:textFill>
            <w14:solidFill>
              <w14:schemeClr w14:val="tx1"/>
            </w14:solidFill>
          </w14:textFill>
        </w:rPr>
        <w:t>款</w:t>
      </w:r>
      <w:r>
        <w:rPr>
          <w:rFonts w:hint="eastAsia" w:ascii="仿宋" w:hAnsi="仿宋" w:eastAsia="仿宋" w:cs="仿宋"/>
          <w:color w:val="000000" w:themeColor="text1"/>
          <w:spacing w:val="0"/>
          <w:sz w:val="32"/>
          <w:szCs w:val="32"/>
          <w14:textFill>
            <w14:solidFill>
              <w14:schemeClr w14:val="tx1"/>
            </w14:solidFill>
          </w14:textFill>
        </w:rPr>
        <w:t>。</w:t>
      </w:r>
    </w:p>
    <w:p w14:paraId="4C00AAC7">
      <w:pPr>
        <w:pStyle w:val="2"/>
        <w:keepNext w:val="0"/>
        <w:keepLines w:val="0"/>
        <w:pageBreakBefore w:val="0"/>
        <w:widowControl w:val="0"/>
        <w:kinsoku/>
        <w:wordWrap/>
        <w:overflowPunct/>
        <w:topLinePunct/>
        <w:autoSpaceDE w:val="0"/>
        <w:autoSpaceDN/>
        <w:bidi w:val="0"/>
        <w:adjustRightInd w:val="0"/>
        <w:snapToGrid w:val="0"/>
        <w:spacing w:before="115" w:line="218" w:lineRule="auto"/>
        <w:ind w:left="2464"/>
        <w:textAlignment w:val="baseline"/>
        <w:rPr>
          <w:spacing w:val="0"/>
          <w:sz w:val="30"/>
          <w:szCs w:val="30"/>
        </w:rPr>
      </w:pPr>
      <w:r>
        <w:rPr>
          <w:rFonts w:ascii="宋体" w:hAnsi="宋体" w:eastAsia="宋体" w:cs="宋体"/>
          <w:spacing w:val="0"/>
          <w:sz w:val="30"/>
          <w:szCs w:val="30"/>
        </w:rPr>
        <w:t xml:space="preserve">图 </w:t>
      </w:r>
      <w:r>
        <w:rPr>
          <w:spacing w:val="0"/>
          <w:sz w:val="30"/>
          <w:szCs w:val="30"/>
        </w:rPr>
        <w:t>1：</w:t>
      </w:r>
      <w:r>
        <w:rPr>
          <w:rFonts w:ascii="宋体" w:hAnsi="宋体" w:eastAsia="宋体" w:cs="宋体"/>
          <w:spacing w:val="0"/>
          <w:sz w:val="30"/>
          <w:szCs w:val="30"/>
        </w:rPr>
        <w:t>收、</w:t>
      </w:r>
      <w:r>
        <w:rPr>
          <w:spacing w:val="0"/>
          <w:sz w:val="30"/>
          <w:szCs w:val="30"/>
        </w:rPr>
        <w:t>支决算</w:t>
      </w:r>
      <w:r>
        <w:rPr>
          <w:rFonts w:ascii="宋体" w:hAnsi="宋体" w:eastAsia="宋体" w:cs="宋体"/>
          <w:spacing w:val="0"/>
          <w:sz w:val="30"/>
          <w:szCs w:val="30"/>
        </w:rPr>
        <w:t>总计变动</w:t>
      </w:r>
      <w:r>
        <w:rPr>
          <w:spacing w:val="0"/>
          <w:sz w:val="30"/>
          <w:szCs w:val="30"/>
        </w:rPr>
        <w:t>情况</w:t>
      </w:r>
    </w:p>
    <w:p w14:paraId="6D743E0F">
      <w:pPr>
        <w:keepNext w:val="0"/>
        <w:keepLines w:val="0"/>
        <w:pageBreakBefore w:val="0"/>
        <w:widowControl w:val="0"/>
        <w:kinsoku/>
        <w:wordWrap/>
        <w:overflowPunct/>
        <w:topLinePunct/>
        <w:autoSpaceDE w:val="0"/>
        <w:autoSpaceDN/>
        <w:bidi w:val="0"/>
        <w:adjustRightInd w:val="0"/>
        <w:snapToGrid w:val="0"/>
        <w:spacing w:line="435" w:lineRule="auto"/>
        <w:textAlignment w:val="baseline"/>
        <w:rPr>
          <w:rFonts w:ascii="Arial"/>
          <w:spacing w:val="0"/>
          <w:sz w:val="21"/>
        </w:rPr>
      </w:pPr>
    </w:p>
    <w:p w14:paraId="19B99F52">
      <w:pPr>
        <w:keepNext w:val="0"/>
        <w:keepLines w:val="0"/>
        <w:pageBreakBefore w:val="0"/>
        <w:widowControl w:val="0"/>
        <w:kinsoku/>
        <w:wordWrap/>
        <w:overflowPunct/>
        <w:topLinePunct/>
        <w:autoSpaceDE w:val="0"/>
        <w:autoSpaceDN/>
        <w:bidi w:val="0"/>
        <w:adjustRightInd w:val="0"/>
        <w:snapToGrid w:val="0"/>
        <w:spacing w:line="2880" w:lineRule="exact"/>
        <w:ind w:firstLine="964"/>
        <w:textAlignment w:val="baseline"/>
        <w:rPr>
          <w:spacing w:val="0"/>
          <w:position w:val="-57"/>
        </w:rPr>
      </w:pPr>
      <w:r>
        <w:rPr>
          <w:spacing w:val="0"/>
          <w:position w:val="-57"/>
        </w:rPr>
        <w:drawing>
          <wp:anchor distT="0" distB="0" distL="0" distR="0" simplePos="0" relativeHeight="251659264" behindDoc="0" locked="0" layoutInCell="1" allowOverlap="1">
            <wp:simplePos x="0" y="0"/>
            <wp:positionH relativeFrom="column">
              <wp:posOffset>612140</wp:posOffset>
            </wp:positionH>
            <wp:positionV relativeFrom="paragraph">
              <wp:posOffset>424180</wp:posOffset>
            </wp:positionV>
            <wp:extent cx="4507865" cy="3654425"/>
            <wp:effectExtent l="0" t="0" r="6985" b="0"/>
            <wp:wrapSquare wrapText="bothSides"/>
            <wp:docPr id="20" name="IM 20" descr="C:/Users/Administrator/Desktop/图片1.png图片1"/>
            <wp:cNvGraphicFramePr/>
            <a:graphic xmlns:a="http://schemas.openxmlformats.org/drawingml/2006/main">
              <a:graphicData uri="http://schemas.openxmlformats.org/drawingml/2006/picture">
                <pic:pic xmlns:pic="http://schemas.openxmlformats.org/drawingml/2006/picture">
                  <pic:nvPicPr>
                    <pic:cNvPr id="20" name="IM 20" descr="C:/Users/Administrator/Desktop/图片1.png图片1"/>
                    <pic:cNvPicPr/>
                  </pic:nvPicPr>
                  <pic:blipFill>
                    <a:blip r:embed="rId26"/>
                    <a:srcRect t="2474" b="-30706"/>
                    <a:stretch>
                      <a:fillRect/>
                    </a:stretch>
                  </pic:blipFill>
                  <pic:spPr>
                    <a:xfrm>
                      <a:off x="0" y="0"/>
                      <a:ext cx="4507865" cy="3654425"/>
                    </a:xfrm>
                    <a:prstGeom prst="rect">
                      <a:avLst/>
                    </a:prstGeom>
                  </pic:spPr>
                </pic:pic>
              </a:graphicData>
            </a:graphic>
          </wp:anchor>
        </w:drawing>
      </w:r>
    </w:p>
    <w:p w14:paraId="73CDF5AC">
      <w:pPr>
        <w:keepNext w:val="0"/>
        <w:keepLines w:val="0"/>
        <w:pageBreakBefore w:val="0"/>
        <w:widowControl w:val="0"/>
        <w:kinsoku/>
        <w:wordWrap/>
        <w:overflowPunct/>
        <w:topLinePunct/>
        <w:autoSpaceDE w:val="0"/>
        <w:autoSpaceDN/>
        <w:bidi w:val="0"/>
        <w:adjustRightInd w:val="0"/>
        <w:snapToGrid w:val="0"/>
        <w:spacing w:line="2880" w:lineRule="exact"/>
        <w:ind w:firstLine="964"/>
        <w:textAlignment w:val="baseline"/>
        <w:rPr>
          <w:spacing w:val="0"/>
        </w:rPr>
      </w:pPr>
    </w:p>
    <w:p w14:paraId="0205BFE6">
      <w:pPr>
        <w:keepNext w:val="0"/>
        <w:keepLines w:val="0"/>
        <w:pageBreakBefore w:val="0"/>
        <w:widowControl w:val="0"/>
        <w:kinsoku/>
        <w:wordWrap/>
        <w:overflowPunct/>
        <w:topLinePunct/>
        <w:autoSpaceDE w:val="0"/>
        <w:autoSpaceDN/>
        <w:bidi w:val="0"/>
        <w:adjustRightInd w:val="0"/>
        <w:snapToGrid w:val="0"/>
        <w:spacing w:line="368" w:lineRule="auto"/>
        <w:textAlignment w:val="baseline"/>
        <w:rPr>
          <w:rFonts w:ascii="Arial"/>
          <w:spacing w:val="0"/>
          <w:sz w:val="21"/>
        </w:rPr>
      </w:pPr>
    </w:p>
    <w:p w14:paraId="6603A026">
      <w:pPr>
        <w:keepNext w:val="0"/>
        <w:keepLines w:val="0"/>
        <w:pageBreakBefore w:val="0"/>
        <w:widowControl w:val="0"/>
        <w:kinsoku/>
        <w:wordWrap/>
        <w:overflowPunct/>
        <w:topLinePunct/>
        <w:autoSpaceDE w:val="0"/>
        <w:autoSpaceDN/>
        <w:bidi w:val="0"/>
        <w:adjustRightInd w:val="0"/>
        <w:snapToGrid w:val="0"/>
        <w:spacing w:before="101" w:line="226" w:lineRule="auto"/>
        <w:ind w:left="672"/>
        <w:textAlignment w:val="baseline"/>
        <w:rPr>
          <w:rFonts w:ascii="黑体" w:hAnsi="黑体" w:eastAsia="黑体" w:cs="黑体"/>
          <w:spacing w:val="0"/>
          <w:sz w:val="31"/>
          <w:szCs w:val="31"/>
        </w:rPr>
      </w:pPr>
      <w:r>
        <w:rPr>
          <w:rFonts w:ascii="黑体" w:hAnsi="黑体" w:eastAsia="黑体" w:cs="黑体"/>
          <w:spacing w:val="0"/>
          <w:sz w:val="31"/>
          <w:szCs w:val="31"/>
        </w:rPr>
        <w:t>二、收入决算情况说明</w:t>
      </w:r>
    </w:p>
    <w:p w14:paraId="695BA1A0">
      <w:pPr>
        <w:pStyle w:val="2"/>
        <w:keepNext w:val="0"/>
        <w:keepLines w:val="0"/>
        <w:pageBreakBefore w:val="0"/>
        <w:widowControl w:val="0"/>
        <w:kinsoku/>
        <w:wordWrap/>
        <w:overflowPunct/>
        <w:topLinePunct/>
        <w:autoSpaceDE w:val="0"/>
        <w:autoSpaceDN/>
        <w:bidi w:val="0"/>
        <w:adjustRightInd w:val="0"/>
        <w:snapToGrid w:val="0"/>
        <w:spacing w:before="143" w:line="295" w:lineRule="auto"/>
        <w:ind w:left="27" w:right="68" w:firstLine="651"/>
        <w:textAlignment w:val="baseline"/>
        <w:rPr>
          <w:rFonts w:hint="eastAsia" w:ascii="仿宋" w:hAnsi="仿宋" w:eastAsia="仿宋" w:cs="仿宋"/>
          <w:spacing w:val="0"/>
          <w:sz w:val="32"/>
          <w:szCs w:val="32"/>
          <w:lang w:val="en-US" w:eastAsia="zh-CN"/>
        </w:rPr>
      </w:pPr>
      <w:r>
        <w:rPr>
          <w:rFonts w:hint="eastAsia" w:ascii="仿宋" w:hAnsi="仿宋" w:eastAsia="仿宋" w:cs="仿宋"/>
          <w:spacing w:val="0"/>
          <w:sz w:val="32"/>
          <w:szCs w:val="32"/>
        </w:rPr>
        <w:t>202</w:t>
      </w:r>
      <w:r>
        <w:rPr>
          <w:rFonts w:hint="eastAsia" w:cs="仿宋"/>
          <w:spacing w:val="0"/>
          <w:sz w:val="32"/>
          <w:szCs w:val="32"/>
          <w:lang w:val="en-US" w:eastAsia="zh-CN"/>
        </w:rPr>
        <w:t>3</w:t>
      </w:r>
      <w:r>
        <w:rPr>
          <w:rFonts w:hint="eastAsia" w:ascii="仿宋" w:hAnsi="仿宋" w:eastAsia="仿宋" w:cs="仿宋"/>
          <w:spacing w:val="0"/>
          <w:sz w:val="32"/>
          <w:szCs w:val="32"/>
        </w:rPr>
        <w:t>年度收入</w:t>
      </w:r>
      <w:r>
        <w:rPr>
          <w:rFonts w:hint="eastAsia" w:ascii="仿宋" w:hAnsi="仿宋" w:eastAsia="仿宋" w:cs="仿宋"/>
          <w:color w:val="000000" w:themeColor="text1"/>
          <w:spacing w:val="0"/>
          <w:sz w:val="32"/>
          <w:szCs w:val="32"/>
          <w14:textFill>
            <w14:solidFill>
              <w14:schemeClr w14:val="tx1"/>
            </w14:solidFill>
          </w14:textFill>
        </w:rPr>
        <w:t>合计</w:t>
      </w:r>
      <w:r>
        <w:rPr>
          <w:rFonts w:hint="eastAsia" w:cs="仿宋"/>
          <w:color w:val="000000" w:themeColor="text1"/>
          <w:spacing w:val="0"/>
          <w:sz w:val="32"/>
          <w:szCs w:val="32"/>
          <w:lang w:val="en-US" w:eastAsia="zh-CN"/>
          <w14:textFill>
            <w14:solidFill>
              <w14:schemeClr w14:val="tx1"/>
            </w14:solidFill>
          </w14:textFill>
        </w:rPr>
        <w:t>2044.56</w:t>
      </w:r>
      <w:r>
        <w:rPr>
          <w:rFonts w:hint="eastAsia" w:ascii="仿宋" w:hAnsi="仿宋" w:eastAsia="仿宋" w:cs="仿宋"/>
          <w:color w:val="000000" w:themeColor="text1"/>
          <w:spacing w:val="0"/>
          <w:sz w:val="32"/>
          <w:szCs w:val="32"/>
          <w14:textFill>
            <w14:solidFill>
              <w14:schemeClr w14:val="tx1"/>
            </w14:solidFill>
          </w14:textFill>
        </w:rPr>
        <w:t>万元</w:t>
      </w:r>
      <w:r>
        <w:rPr>
          <w:rFonts w:hint="eastAsia" w:ascii="仿宋" w:hAnsi="仿宋" w:eastAsia="仿宋" w:cs="仿宋"/>
          <w:spacing w:val="0"/>
          <w:sz w:val="32"/>
          <w:szCs w:val="32"/>
        </w:rPr>
        <w:t>，与 202</w:t>
      </w:r>
      <w:r>
        <w:rPr>
          <w:rFonts w:hint="eastAsia" w:cs="仿宋"/>
          <w:spacing w:val="0"/>
          <w:sz w:val="32"/>
          <w:szCs w:val="32"/>
          <w:lang w:val="en-US" w:eastAsia="zh-CN"/>
        </w:rPr>
        <w:t>2</w:t>
      </w:r>
      <w:r>
        <w:rPr>
          <w:rFonts w:hint="eastAsia" w:ascii="仿宋" w:hAnsi="仿宋" w:eastAsia="仿宋" w:cs="仿宋"/>
          <w:spacing w:val="0"/>
          <w:sz w:val="32"/>
          <w:szCs w:val="32"/>
        </w:rPr>
        <w:t>年度相比，收入合计增加</w:t>
      </w:r>
      <w:r>
        <w:rPr>
          <w:rFonts w:hint="eastAsia" w:cs="仿宋"/>
          <w:spacing w:val="0"/>
          <w:sz w:val="32"/>
          <w:szCs w:val="32"/>
          <w:lang w:val="en-US" w:eastAsia="zh-CN"/>
        </w:rPr>
        <w:t>841.56</w:t>
      </w:r>
      <w:r>
        <w:rPr>
          <w:rFonts w:hint="eastAsia" w:ascii="仿宋" w:hAnsi="仿宋" w:eastAsia="仿宋" w:cs="仿宋"/>
          <w:spacing w:val="0"/>
          <w:sz w:val="32"/>
          <w:szCs w:val="32"/>
        </w:rPr>
        <w:t>万元，增长</w:t>
      </w:r>
      <w:r>
        <w:rPr>
          <w:rFonts w:hint="eastAsia" w:cs="仿宋"/>
          <w:spacing w:val="0"/>
          <w:sz w:val="32"/>
          <w:szCs w:val="32"/>
          <w:lang w:val="en-US" w:eastAsia="zh-CN"/>
        </w:rPr>
        <w:t>69.96</w:t>
      </w:r>
      <w:r>
        <w:rPr>
          <w:rFonts w:hint="eastAsia" w:ascii="仿宋" w:hAnsi="仿宋" w:eastAsia="仿宋" w:cs="仿宋"/>
          <w:spacing w:val="0"/>
          <w:sz w:val="32"/>
          <w:szCs w:val="32"/>
        </w:rPr>
        <w:t>%，主要原因是202</w:t>
      </w:r>
      <w:r>
        <w:rPr>
          <w:rFonts w:hint="eastAsia" w:cs="仿宋"/>
          <w:spacing w:val="0"/>
          <w:sz w:val="32"/>
          <w:szCs w:val="32"/>
          <w:lang w:val="en-US" w:eastAsia="zh-CN"/>
        </w:rPr>
        <w:t>3</w:t>
      </w:r>
      <w:r>
        <w:rPr>
          <w:rFonts w:hint="eastAsia" w:ascii="仿宋" w:hAnsi="仿宋" w:eastAsia="仿宋" w:cs="仿宋"/>
          <w:spacing w:val="0"/>
          <w:sz w:val="32"/>
          <w:szCs w:val="32"/>
        </w:rPr>
        <w:t xml:space="preserve"> 年</w:t>
      </w:r>
      <w:r>
        <w:rPr>
          <w:rFonts w:hint="eastAsia" w:cs="仿宋"/>
          <w:spacing w:val="0"/>
          <w:sz w:val="32"/>
          <w:szCs w:val="32"/>
          <w:lang w:eastAsia="zh-CN"/>
        </w:rPr>
        <w:t>残疾人医保全额代缴，项目资金增加，</w:t>
      </w:r>
      <w:r>
        <w:rPr>
          <w:rFonts w:hint="eastAsia" w:cs="仿宋"/>
          <w:spacing w:val="0"/>
          <w:sz w:val="32"/>
          <w:szCs w:val="32"/>
          <w:lang w:val="en-US" w:eastAsia="zh-CN"/>
        </w:rPr>
        <w:t>2022年</w:t>
      </w:r>
      <w:r>
        <w:rPr>
          <w:rFonts w:hint="eastAsia" w:ascii="仿宋" w:hAnsi="仿宋" w:eastAsia="仿宋" w:cs="仿宋"/>
          <w:spacing w:val="0"/>
          <w:sz w:val="32"/>
          <w:szCs w:val="32"/>
        </w:rPr>
        <w:t>残疾人家庭无障碍改造</w:t>
      </w:r>
      <w:r>
        <w:rPr>
          <w:rFonts w:hint="eastAsia" w:cs="仿宋"/>
          <w:spacing w:val="0"/>
          <w:sz w:val="32"/>
          <w:szCs w:val="32"/>
          <w:lang w:eastAsia="zh-CN"/>
        </w:rPr>
        <w:t>项目资金存在跨年支付。</w:t>
      </w:r>
    </w:p>
    <w:p w14:paraId="376C2814">
      <w:pPr>
        <w:pStyle w:val="2"/>
        <w:keepNext w:val="0"/>
        <w:keepLines w:val="0"/>
        <w:pageBreakBefore w:val="0"/>
        <w:widowControl w:val="0"/>
        <w:kinsoku/>
        <w:wordWrap/>
        <w:overflowPunct/>
        <w:topLinePunct/>
        <w:autoSpaceDE w:val="0"/>
        <w:autoSpaceDN/>
        <w:bidi w:val="0"/>
        <w:adjustRightInd w:val="0"/>
        <w:snapToGrid w:val="0"/>
        <w:spacing w:before="48" w:line="300" w:lineRule="auto"/>
        <w:ind w:left="26" w:firstLine="642"/>
        <w:jc w:val="both"/>
        <w:textAlignment w:val="baseline"/>
        <w:rPr>
          <w:rFonts w:hint="default" w:ascii="仿宋" w:hAnsi="仿宋" w:eastAsia="仿宋" w:cs="仿宋"/>
          <w:spacing w:val="0"/>
          <w:sz w:val="32"/>
          <w:szCs w:val="32"/>
          <w:lang w:val="en-US" w:eastAsia="zh-CN"/>
        </w:rPr>
      </w:pPr>
      <w:r>
        <w:rPr>
          <w:rFonts w:hint="eastAsia" w:ascii="仿宋" w:hAnsi="仿宋" w:eastAsia="仿宋" w:cs="仿宋"/>
          <w:spacing w:val="0"/>
          <w:sz w:val="32"/>
          <w:szCs w:val="32"/>
        </w:rPr>
        <w:t>其中：财政拨款收入</w:t>
      </w:r>
      <w:r>
        <w:rPr>
          <w:rFonts w:hint="eastAsia" w:cs="仿宋"/>
          <w:color w:val="auto"/>
          <w:spacing w:val="0"/>
          <w:sz w:val="32"/>
          <w:szCs w:val="32"/>
          <w:lang w:val="en-US" w:eastAsia="zh-CN"/>
        </w:rPr>
        <w:t>1993.88</w:t>
      </w:r>
      <w:r>
        <w:rPr>
          <w:rFonts w:hint="eastAsia" w:ascii="仿宋" w:hAnsi="仿宋" w:eastAsia="仿宋" w:cs="仿宋"/>
          <w:color w:val="auto"/>
          <w:spacing w:val="0"/>
          <w:sz w:val="32"/>
          <w:szCs w:val="32"/>
        </w:rPr>
        <w:t>万元，占本年收入</w:t>
      </w:r>
      <w:r>
        <w:rPr>
          <w:rFonts w:hint="eastAsia" w:cs="仿宋"/>
          <w:color w:val="auto"/>
          <w:spacing w:val="0"/>
          <w:sz w:val="32"/>
          <w:szCs w:val="32"/>
          <w:lang w:val="en-US" w:eastAsia="zh-CN"/>
        </w:rPr>
        <w:t>97.52%;</w:t>
      </w:r>
      <w:r>
        <w:rPr>
          <w:rFonts w:hint="eastAsia" w:ascii="仿宋" w:hAnsi="仿宋" w:eastAsia="仿宋" w:cs="仿宋"/>
          <w:color w:val="auto"/>
          <w:spacing w:val="0"/>
          <w:sz w:val="32"/>
          <w:szCs w:val="32"/>
        </w:rPr>
        <w:t>较</w:t>
      </w:r>
      <w:r>
        <w:rPr>
          <w:rFonts w:hint="eastAsia" w:cs="仿宋"/>
          <w:color w:val="auto"/>
          <w:spacing w:val="0"/>
          <w:sz w:val="32"/>
          <w:szCs w:val="32"/>
          <w:lang w:val="en-US" w:eastAsia="zh-CN"/>
        </w:rPr>
        <w:t>2022</w:t>
      </w:r>
      <w:r>
        <w:rPr>
          <w:rFonts w:hint="eastAsia" w:ascii="仿宋" w:hAnsi="仿宋" w:eastAsia="仿宋" w:cs="仿宋"/>
          <w:color w:val="auto"/>
          <w:spacing w:val="0"/>
          <w:sz w:val="32"/>
          <w:szCs w:val="32"/>
        </w:rPr>
        <w:t>年决算数增加</w:t>
      </w:r>
      <w:r>
        <w:rPr>
          <w:rFonts w:hint="eastAsia" w:cs="仿宋"/>
          <w:color w:val="auto"/>
          <w:spacing w:val="0"/>
          <w:sz w:val="32"/>
          <w:szCs w:val="32"/>
          <w:lang w:val="en-US" w:eastAsia="zh-CN"/>
        </w:rPr>
        <w:t>1041.12</w:t>
      </w:r>
      <w:r>
        <w:rPr>
          <w:rFonts w:hint="eastAsia" w:ascii="仿宋" w:hAnsi="仿宋" w:eastAsia="仿宋" w:cs="仿宋"/>
          <w:color w:val="auto"/>
          <w:spacing w:val="0"/>
          <w:sz w:val="32"/>
          <w:szCs w:val="32"/>
        </w:rPr>
        <w:t>万元，增长</w:t>
      </w:r>
      <w:r>
        <w:rPr>
          <w:rFonts w:hint="eastAsia" w:cs="仿宋"/>
          <w:color w:val="auto"/>
          <w:spacing w:val="0"/>
          <w:sz w:val="32"/>
          <w:szCs w:val="32"/>
          <w:lang w:val="en-US" w:eastAsia="zh-CN"/>
        </w:rPr>
        <w:t>109.27</w:t>
      </w:r>
      <w:r>
        <w:rPr>
          <w:rFonts w:hint="eastAsia" w:ascii="仿宋" w:hAnsi="仿宋" w:eastAsia="仿宋" w:cs="仿宋"/>
          <w:color w:val="auto"/>
          <w:spacing w:val="0"/>
          <w:sz w:val="32"/>
          <w:szCs w:val="32"/>
        </w:rPr>
        <w:t>%，</w:t>
      </w:r>
      <w:r>
        <w:rPr>
          <w:rFonts w:hint="eastAsia" w:ascii="仿宋" w:hAnsi="仿宋" w:eastAsia="仿宋" w:cs="仿宋"/>
          <w:spacing w:val="0"/>
          <w:sz w:val="32"/>
          <w:szCs w:val="32"/>
        </w:rPr>
        <w:t>主要原因是</w:t>
      </w:r>
      <w:r>
        <w:rPr>
          <w:rFonts w:hint="eastAsia" w:cs="仿宋"/>
          <w:spacing w:val="0"/>
          <w:sz w:val="32"/>
          <w:szCs w:val="32"/>
          <w:lang w:val="en-US" w:eastAsia="zh-CN"/>
        </w:rPr>
        <w:t>2022年</w:t>
      </w:r>
      <w:r>
        <w:rPr>
          <w:rFonts w:hint="eastAsia" w:ascii="仿宋" w:hAnsi="仿宋" w:eastAsia="仿宋" w:cs="仿宋"/>
          <w:spacing w:val="0"/>
          <w:sz w:val="32"/>
          <w:szCs w:val="32"/>
        </w:rPr>
        <w:t>残疾人家庭无障碍改造项目</w:t>
      </w:r>
      <w:r>
        <w:rPr>
          <w:rFonts w:hint="eastAsia" w:cs="仿宋"/>
          <w:spacing w:val="0"/>
          <w:sz w:val="32"/>
          <w:szCs w:val="32"/>
          <w:lang w:eastAsia="zh-CN"/>
        </w:rPr>
        <w:t>结转，</w:t>
      </w:r>
      <w:r>
        <w:rPr>
          <w:rFonts w:hint="eastAsia" w:cs="仿宋"/>
          <w:spacing w:val="0"/>
          <w:sz w:val="32"/>
          <w:szCs w:val="32"/>
          <w:lang w:val="en-US" w:eastAsia="zh-CN"/>
        </w:rPr>
        <w:t>2023年</w:t>
      </w:r>
      <w:r>
        <w:rPr>
          <w:rFonts w:hint="eastAsia" w:cs="仿宋"/>
          <w:spacing w:val="0"/>
          <w:sz w:val="32"/>
          <w:szCs w:val="32"/>
          <w:lang w:eastAsia="zh-CN"/>
        </w:rPr>
        <w:t>残疾人医保全额代缴，</w:t>
      </w:r>
      <w:r>
        <w:rPr>
          <w:rFonts w:hint="eastAsia" w:ascii="仿宋" w:hAnsi="仿宋" w:eastAsia="仿宋" w:cs="仿宋"/>
          <w:color w:val="000000" w:themeColor="text1"/>
          <w:spacing w:val="0"/>
          <w:sz w:val="32"/>
          <w:szCs w:val="32"/>
          <w14:textFill>
            <w14:solidFill>
              <w14:schemeClr w14:val="tx1"/>
            </w14:solidFill>
          </w14:textFill>
        </w:rPr>
        <w:t>康复中心项目建设</w:t>
      </w:r>
      <w:r>
        <w:rPr>
          <w:rFonts w:hint="eastAsia" w:cs="仿宋"/>
          <w:color w:val="000000" w:themeColor="text1"/>
          <w:spacing w:val="0"/>
          <w:sz w:val="32"/>
          <w:szCs w:val="32"/>
          <w:lang w:eastAsia="zh-CN"/>
          <w14:textFill>
            <w14:solidFill>
              <w14:schemeClr w14:val="tx1"/>
            </w14:solidFill>
          </w14:textFill>
        </w:rPr>
        <w:t>款增加。</w:t>
      </w:r>
    </w:p>
    <w:p w14:paraId="5A7EDAFA">
      <w:pPr>
        <w:pStyle w:val="2"/>
        <w:keepNext w:val="0"/>
        <w:keepLines w:val="0"/>
        <w:pageBreakBefore w:val="0"/>
        <w:widowControl w:val="0"/>
        <w:kinsoku/>
        <w:wordWrap/>
        <w:overflowPunct/>
        <w:topLinePunct/>
        <w:autoSpaceDE w:val="0"/>
        <w:autoSpaceDN/>
        <w:bidi w:val="0"/>
        <w:adjustRightInd w:val="0"/>
        <w:snapToGrid w:val="0"/>
        <w:spacing w:before="65" w:line="286" w:lineRule="auto"/>
        <w:ind w:left="30" w:right="68" w:firstLine="638"/>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ascii="仿宋" w:hAnsi="仿宋" w:eastAsia="仿宋" w:cs="仿宋"/>
          <w:color w:val="000000" w:themeColor="text1"/>
          <w:spacing w:val="0"/>
          <w:sz w:val="32"/>
          <w:szCs w:val="32"/>
          <w14:textFill>
            <w14:solidFill>
              <w14:schemeClr w14:val="tx1"/>
            </w14:solidFill>
          </w14:textFill>
        </w:rPr>
        <w:t>其他收入</w:t>
      </w:r>
      <w:r>
        <w:rPr>
          <w:rFonts w:hint="eastAsia" w:cs="仿宋"/>
          <w:color w:val="000000" w:themeColor="text1"/>
          <w:spacing w:val="0"/>
          <w:sz w:val="32"/>
          <w:szCs w:val="32"/>
          <w:lang w:val="en-US" w:eastAsia="zh-CN"/>
          <w14:textFill>
            <w14:solidFill>
              <w14:schemeClr w14:val="tx1"/>
            </w14:solidFill>
          </w14:textFill>
        </w:rPr>
        <w:t>50.68</w:t>
      </w:r>
      <w:r>
        <w:rPr>
          <w:rFonts w:hint="eastAsia" w:ascii="仿宋" w:hAnsi="仿宋" w:eastAsia="仿宋" w:cs="仿宋"/>
          <w:color w:val="000000" w:themeColor="text1"/>
          <w:spacing w:val="0"/>
          <w:sz w:val="32"/>
          <w:szCs w:val="32"/>
          <w14:textFill>
            <w14:solidFill>
              <w14:schemeClr w14:val="tx1"/>
            </w14:solidFill>
          </w14:textFill>
        </w:rPr>
        <w:t>万元，占本年收入</w:t>
      </w:r>
      <w:r>
        <w:rPr>
          <w:rFonts w:hint="eastAsia" w:cs="仿宋"/>
          <w:color w:val="000000" w:themeColor="text1"/>
          <w:spacing w:val="0"/>
          <w:sz w:val="32"/>
          <w:szCs w:val="32"/>
          <w:lang w:val="en-US" w:eastAsia="zh-CN"/>
          <w14:textFill>
            <w14:solidFill>
              <w14:schemeClr w14:val="tx1"/>
            </w14:solidFill>
          </w14:textFill>
        </w:rPr>
        <w:t>2.48</w:t>
      </w:r>
      <w:r>
        <w:rPr>
          <w:rFonts w:hint="eastAsia" w:ascii="仿宋" w:hAnsi="仿宋" w:eastAsia="仿宋" w:cs="仿宋"/>
          <w:color w:val="000000" w:themeColor="text1"/>
          <w:spacing w:val="0"/>
          <w:sz w:val="32"/>
          <w:szCs w:val="32"/>
          <w14:textFill>
            <w14:solidFill>
              <w14:schemeClr w14:val="tx1"/>
            </w14:solidFill>
          </w14:textFill>
        </w:rPr>
        <w:t>%。较202</w:t>
      </w:r>
      <w:r>
        <w:rPr>
          <w:rFonts w:hint="eastAsia" w:cs="仿宋"/>
          <w:color w:val="000000" w:themeColor="text1"/>
          <w:spacing w:val="0"/>
          <w:sz w:val="32"/>
          <w:szCs w:val="32"/>
          <w:lang w:val="en-US" w:eastAsia="zh-CN"/>
          <w14:textFill>
            <w14:solidFill>
              <w14:schemeClr w14:val="tx1"/>
            </w14:solidFill>
          </w14:textFill>
        </w:rPr>
        <w:t>2</w:t>
      </w:r>
      <w:r>
        <w:rPr>
          <w:rFonts w:hint="eastAsia" w:ascii="仿宋" w:hAnsi="仿宋" w:eastAsia="仿宋" w:cs="仿宋"/>
          <w:color w:val="000000" w:themeColor="text1"/>
          <w:spacing w:val="0"/>
          <w:sz w:val="32"/>
          <w:szCs w:val="32"/>
          <w14:textFill>
            <w14:solidFill>
              <w14:schemeClr w14:val="tx1"/>
            </w14:solidFill>
          </w14:textFill>
        </w:rPr>
        <w:t>年决算数</w:t>
      </w:r>
      <w:r>
        <w:rPr>
          <w:rFonts w:hint="eastAsia" w:cs="仿宋"/>
          <w:color w:val="000000" w:themeColor="text1"/>
          <w:spacing w:val="0"/>
          <w:sz w:val="32"/>
          <w:szCs w:val="32"/>
          <w:lang w:eastAsia="zh-CN"/>
          <w14:textFill>
            <w14:solidFill>
              <w14:schemeClr w14:val="tx1"/>
            </w14:solidFill>
          </w14:textFill>
        </w:rPr>
        <w:t>减少</w:t>
      </w:r>
      <w:r>
        <w:rPr>
          <w:rFonts w:hint="eastAsia" w:cs="仿宋"/>
          <w:color w:val="000000" w:themeColor="text1"/>
          <w:spacing w:val="0"/>
          <w:sz w:val="32"/>
          <w:szCs w:val="32"/>
          <w:lang w:val="en-US" w:eastAsia="zh-CN"/>
          <w14:textFill>
            <w14:solidFill>
              <w14:schemeClr w14:val="tx1"/>
            </w14:solidFill>
          </w14:textFill>
        </w:rPr>
        <w:t>199.56</w:t>
      </w:r>
      <w:r>
        <w:rPr>
          <w:rFonts w:hint="eastAsia" w:ascii="仿宋" w:hAnsi="仿宋" w:eastAsia="仿宋" w:cs="仿宋"/>
          <w:color w:val="000000" w:themeColor="text1"/>
          <w:spacing w:val="0"/>
          <w:sz w:val="32"/>
          <w:szCs w:val="32"/>
          <w14:textFill>
            <w14:solidFill>
              <w14:schemeClr w14:val="tx1"/>
            </w14:solidFill>
          </w14:textFill>
        </w:rPr>
        <w:t>万元，</w:t>
      </w:r>
      <w:r>
        <w:rPr>
          <w:rFonts w:hint="eastAsia" w:cs="仿宋"/>
          <w:color w:val="000000" w:themeColor="text1"/>
          <w:spacing w:val="0"/>
          <w:sz w:val="32"/>
          <w:szCs w:val="32"/>
          <w:lang w:eastAsia="zh-CN"/>
          <w14:textFill>
            <w14:solidFill>
              <w14:schemeClr w14:val="tx1"/>
            </w14:solidFill>
          </w14:textFill>
        </w:rPr>
        <w:t>减少</w:t>
      </w:r>
      <w:r>
        <w:rPr>
          <w:rFonts w:hint="eastAsia" w:cs="仿宋"/>
          <w:color w:val="000000" w:themeColor="text1"/>
          <w:spacing w:val="0"/>
          <w:sz w:val="32"/>
          <w:szCs w:val="32"/>
          <w:lang w:val="en-US" w:eastAsia="zh-CN"/>
          <w14:textFill>
            <w14:solidFill>
              <w14:schemeClr w14:val="tx1"/>
            </w14:solidFill>
          </w14:textFill>
        </w:rPr>
        <w:t>79.75</w:t>
      </w:r>
      <w:r>
        <w:rPr>
          <w:rFonts w:hint="eastAsia" w:ascii="仿宋" w:hAnsi="仿宋" w:eastAsia="仿宋" w:cs="仿宋"/>
          <w:color w:val="000000" w:themeColor="text1"/>
          <w:spacing w:val="0"/>
          <w:sz w:val="32"/>
          <w:szCs w:val="32"/>
          <w14:textFill>
            <w14:solidFill>
              <w14:schemeClr w14:val="tx1"/>
            </w14:solidFill>
          </w14:textFill>
        </w:rPr>
        <w:t>%，</w:t>
      </w:r>
      <w:r>
        <w:rPr>
          <w:rFonts w:hint="eastAsia" w:cs="仿宋"/>
          <w:color w:val="000000" w:themeColor="text1"/>
          <w:spacing w:val="0"/>
          <w:sz w:val="32"/>
          <w:szCs w:val="32"/>
          <w:lang w:eastAsia="zh-CN"/>
          <w14:textFill>
            <w14:solidFill>
              <w14:schemeClr w14:val="tx1"/>
            </w14:solidFill>
          </w14:textFill>
        </w:rPr>
        <w:t>主要原因是</w:t>
      </w:r>
      <w:r>
        <w:rPr>
          <w:rFonts w:hint="eastAsia" w:cs="仿宋"/>
          <w:color w:val="000000" w:themeColor="text1"/>
          <w:spacing w:val="0"/>
          <w:sz w:val="32"/>
          <w:szCs w:val="32"/>
          <w:lang w:val="en-US" w:eastAsia="zh-CN"/>
          <w14:textFill>
            <w14:solidFill>
              <w14:schemeClr w14:val="tx1"/>
            </w14:solidFill>
          </w14:textFill>
        </w:rPr>
        <w:t>2022年通过往来收到</w:t>
      </w:r>
      <w:r>
        <w:rPr>
          <w:rFonts w:hint="eastAsia" w:ascii="仿宋" w:hAnsi="仿宋" w:eastAsia="仿宋" w:cs="仿宋"/>
          <w:color w:val="000000" w:themeColor="text1"/>
          <w:spacing w:val="0"/>
          <w:sz w:val="32"/>
          <w:szCs w:val="32"/>
          <w14:textFill>
            <w14:solidFill>
              <w14:schemeClr w14:val="tx1"/>
            </w14:solidFill>
          </w14:textFill>
        </w:rPr>
        <w:t>康复中心项目建设</w:t>
      </w:r>
      <w:r>
        <w:rPr>
          <w:rFonts w:hint="eastAsia" w:cs="仿宋"/>
          <w:color w:val="000000" w:themeColor="text1"/>
          <w:spacing w:val="0"/>
          <w:sz w:val="32"/>
          <w:szCs w:val="32"/>
          <w:lang w:eastAsia="zh-CN"/>
          <w14:textFill>
            <w14:solidFill>
              <w14:schemeClr w14:val="tx1"/>
            </w14:solidFill>
          </w14:textFill>
        </w:rPr>
        <w:t>款</w:t>
      </w:r>
      <w:r>
        <w:rPr>
          <w:rFonts w:hint="eastAsia" w:cs="仿宋"/>
          <w:color w:val="000000" w:themeColor="text1"/>
          <w:spacing w:val="0"/>
          <w:sz w:val="32"/>
          <w:szCs w:val="32"/>
          <w:lang w:val="en-US" w:eastAsia="zh-CN"/>
          <w14:textFill>
            <w14:solidFill>
              <w14:schemeClr w14:val="tx1"/>
            </w14:solidFill>
          </w14:textFill>
        </w:rPr>
        <w:t>200万，2023年无此项收入</w:t>
      </w:r>
      <w:r>
        <w:rPr>
          <w:rFonts w:hint="eastAsia" w:ascii="仿宋" w:hAnsi="仿宋" w:eastAsia="仿宋" w:cs="仿宋"/>
          <w:color w:val="000000" w:themeColor="text1"/>
          <w:spacing w:val="0"/>
          <w:sz w:val="32"/>
          <w:szCs w:val="32"/>
          <w14:textFill>
            <w14:solidFill>
              <w14:schemeClr w14:val="tx1"/>
            </w14:solidFill>
          </w14:textFill>
        </w:rPr>
        <w:t>。</w:t>
      </w:r>
    </w:p>
    <w:p w14:paraId="725CD20F">
      <w:pPr>
        <w:pStyle w:val="2"/>
        <w:keepNext w:val="0"/>
        <w:keepLines w:val="0"/>
        <w:pageBreakBefore w:val="0"/>
        <w:widowControl w:val="0"/>
        <w:kinsoku/>
        <w:wordWrap/>
        <w:overflowPunct/>
        <w:topLinePunct/>
        <w:autoSpaceDE w:val="0"/>
        <w:autoSpaceDN/>
        <w:bidi w:val="0"/>
        <w:adjustRightInd w:val="0"/>
        <w:snapToGrid w:val="0"/>
        <w:spacing w:before="167" w:line="218" w:lineRule="auto"/>
        <w:ind w:firstLine="600" w:firstLineChars="200"/>
        <w:textAlignment w:val="baseline"/>
        <w:rPr>
          <w:rFonts w:hint="eastAsia" w:ascii="Arial" w:eastAsia="宋体"/>
          <w:spacing w:val="0"/>
          <w:sz w:val="21"/>
          <w:lang w:eastAsia="zh-CN"/>
        </w:rPr>
      </w:pPr>
      <w:r>
        <w:rPr>
          <w:rFonts w:ascii="宋体" w:hAnsi="宋体" w:eastAsia="宋体" w:cs="宋体"/>
          <w:spacing w:val="0"/>
          <w:sz w:val="30"/>
          <w:szCs w:val="30"/>
        </w:rPr>
        <w:t xml:space="preserve">图 </w:t>
      </w:r>
      <w:r>
        <w:rPr>
          <w:spacing w:val="0"/>
          <w:sz w:val="30"/>
          <w:szCs w:val="30"/>
        </w:rPr>
        <w:t>2：</w:t>
      </w:r>
      <w:r>
        <w:rPr>
          <w:rFonts w:ascii="宋体" w:hAnsi="宋体" w:eastAsia="宋体" w:cs="宋体"/>
          <w:spacing w:val="0"/>
          <w:sz w:val="30"/>
          <w:szCs w:val="30"/>
        </w:rPr>
        <w:t>收入</w:t>
      </w:r>
      <w:r>
        <w:rPr>
          <w:spacing w:val="0"/>
          <w:sz w:val="30"/>
          <w:szCs w:val="30"/>
        </w:rPr>
        <w:t>决算结</w:t>
      </w:r>
      <w:r>
        <w:rPr>
          <w:rFonts w:ascii="宋体" w:hAnsi="宋体" w:eastAsia="宋体" w:cs="宋体"/>
          <w:spacing w:val="0"/>
          <w:sz w:val="30"/>
          <w:szCs w:val="30"/>
        </w:rPr>
        <w:t>构</w:t>
      </w:r>
    </w:p>
    <w:p w14:paraId="2797823E">
      <w:pPr>
        <w:pStyle w:val="2"/>
        <w:keepNext w:val="0"/>
        <w:keepLines w:val="0"/>
        <w:pageBreakBefore w:val="0"/>
        <w:widowControl w:val="0"/>
        <w:tabs>
          <w:tab w:val="left" w:pos="404"/>
        </w:tabs>
        <w:kinsoku/>
        <w:wordWrap/>
        <w:overflowPunct/>
        <w:topLinePunct/>
        <w:autoSpaceDE w:val="0"/>
        <w:autoSpaceDN/>
        <w:bidi w:val="0"/>
        <w:adjustRightInd w:val="0"/>
        <w:snapToGrid w:val="0"/>
        <w:spacing w:line="240" w:lineRule="auto"/>
        <w:ind w:left="0" w:right="0" w:firstLine="0"/>
        <w:textAlignment w:val="baseline"/>
        <w:rPr>
          <w:rFonts w:ascii="黑体" w:hAnsi="黑体" w:eastAsia="黑体" w:cs="黑体"/>
          <w:spacing w:val="0"/>
          <w:sz w:val="31"/>
          <w:szCs w:val="31"/>
        </w:rPr>
      </w:pPr>
      <w:r>
        <w:rPr>
          <w:spacing w:val="0"/>
          <w:position w:val="-70"/>
        </w:rPr>
        <w:drawing>
          <wp:anchor distT="0" distB="0" distL="0" distR="0" simplePos="0" relativeHeight="251660288" behindDoc="0" locked="0" layoutInCell="1" allowOverlap="1">
            <wp:simplePos x="0" y="0"/>
            <wp:positionH relativeFrom="column">
              <wp:posOffset>291465</wp:posOffset>
            </wp:positionH>
            <wp:positionV relativeFrom="paragraph">
              <wp:posOffset>139065</wp:posOffset>
            </wp:positionV>
            <wp:extent cx="3879215" cy="2336800"/>
            <wp:effectExtent l="0" t="0" r="0" b="0"/>
            <wp:wrapTopAndBottom/>
            <wp:docPr id="22" name="IM 22" descr="C:/Users/Administrator/Desktop/图片2.png图片2"/>
            <wp:cNvGraphicFramePr/>
            <a:graphic xmlns:a="http://schemas.openxmlformats.org/drawingml/2006/main">
              <a:graphicData uri="http://schemas.openxmlformats.org/drawingml/2006/picture">
                <pic:pic xmlns:pic="http://schemas.openxmlformats.org/drawingml/2006/picture">
                  <pic:nvPicPr>
                    <pic:cNvPr id="22" name="IM 22" descr="C:/Users/Administrator/Desktop/图片2.png图片2"/>
                    <pic:cNvPicPr/>
                  </pic:nvPicPr>
                  <pic:blipFill>
                    <a:blip r:embed="rId27"/>
                    <a:srcRect l="3326" t="5788" r="7165" b="2160"/>
                    <a:stretch>
                      <a:fillRect/>
                    </a:stretch>
                  </pic:blipFill>
                  <pic:spPr>
                    <a:xfrm>
                      <a:off x="0" y="0"/>
                      <a:ext cx="3879215" cy="2336800"/>
                    </a:xfrm>
                    <a:prstGeom prst="rect">
                      <a:avLst/>
                    </a:prstGeom>
                  </pic:spPr>
                </pic:pic>
              </a:graphicData>
            </a:graphic>
          </wp:anchor>
        </w:drawing>
      </w:r>
      <w:r>
        <w:rPr>
          <w:rFonts w:hint="eastAsia"/>
          <w:spacing w:val="0"/>
          <w:position w:val="-70"/>
          <w:lang w:eastAsia="zh-CN"/>
        </w:rPr>
        <w:tab/>
      </w:r>
    </w:p>
    <w:p w14:paraId="37954001">
      <w:pPr>
        <w:keepNext w:val="0"/>
        <w:keepLines w:val="0"/>
        <w:pageBreakBefore w:val="0"/>
        <w:widowControl w:val="0"/>
        <w:kinsoku/>
        <w:wordWrap/>
        <w:overflowPunct/>
        <w:topLinePunct/>
        <w:autoSpaceDE w:val="0"/>
        <w:autoSpaceDN/>
        <w:bidi w:val="0"/>
        <w:adjustRightInd w:val="0"/>
        <w:snapToGrid w:val="0"/>
        <w:spacing w:before="101" w:line="226" w:lineRule="auto"/>
        <w:ind w:left="673"/>
        <w:textAlignment w:val="baseline"/>
        <w:rPr>
          <w:rFonts w:ascii="黑体" w:hAnsi="黑体" w:eastAsia="黑体" w:cs="黑体"/>
          <w:spacing w:val="0"/>
          <w:sz w:val="31"/>
          <w:szCs w:val="31"/>
        </w:rPr>
      </w:pPr>
      <w:r>
        <w:rPr>
          <w:rFonts w:ascii="黑体" w:hAnsi="黑体" w:eastAsia="黑体" w:cs="黑体"/>
          <w:spacing w:val="0"/>
          <w:sz w:val="31"/>
          <w:szCs w:val="31"/>
        </w:rPr>
        <w:t>三、支出决算情况说明</w:t>
      </w:r>
    </w:p>
    <w:p w14:paraId="2358F842">
      <w:pPr>
        <w:pStyle w:val="2"/>
        <w:keepNext w:val="0"/>
        <w:keepLines w:val="0"/>
        <w:pageBreakBefore w:val="0"/>
        <w:widowControl w:val="0"/>
        <w:kinsoku/>
        <w:wordWrap/>
        <w:overflowPunct/>
        <w:topLinePunct/>
        <w:autoSpaceDE w:val="0"/>
        <w:autoSpaceDN/>
        <w:bidi w:val="0"/>
        <w:adjustRightInd w:val="0"/>
        <w:snapToGrid w:val="0"/>
        <w:spacing w:before="141" w:line="295" w:lineRule="auto"/>
        <w:ind w:left="32" w:right="93" w:firstLine="628"/>
        <w:textAlignment w:val="baseline"/>
        <w:rPr>
          <w:rFonts w:hint="eastAsia" w:ascii="仿宋" w:hAnsi="仿宋" w:eastAsia="仿宋" w:cs="仿宋"/>
          <w:color w:val="auto"/>
          <w:spacing w:val="0"/>
          <w:sz w:val="32"/>
          <w:szCs w:val="32"/>
        </w:rPr>
      </w:pPr>
      <w:r>
        <w:rPr>
          <w:rFonts w:hint="eastAsia" w:ascii="仿宋" w:hAnsi="仿宋" w:eastAsia="仿宋" w:cs="仿宋"/>
          <w:spacing w:val="0"/>
          <w:sz w:val="32"/>
          <w:szCs w:val="32"/>
        </w:rPr>
        <w:t>202</w:t>
      </w:r>
      <w:r>
        <w:rPr>
          <w:rFonts w:hint="eastAsia" w:ascii="仿宋" w:hAnsi="仿宋" w:eastAsia="仿宋" w:cs="仿宋"/>
          <w:spacing w:val="0"/>
          <w:sz w:val="32"/>
          <w:szCs w:val="32"/>
          <w:lang w:val="en-US" w:eastAsia="zh-CN"/>
        </w:rPr>
        <w:t>3</w:t>
      </w:r>
      <w:r>
        <w:rPr>
          <w:rFonts w:hint="eastAsia" w:ascii="仿宋" w:hAnsi="仿宋" w:eastAsia="仿宋" w:cs="仿宋"/>
          <w:spacing w:val="0"/>
          <w:sz w:val="32"/>
          <w:szCs w:val="32"/>
        </w:rPr>
        <w:t>年度支出合计</w:t>
      </w:r>
      <w:r>
        <w:rPr>
          <w:rFonts w:hint="eastAsia" w:cs="仿宋"/>
          <w:color w:val="auto"/>
          <w:spacing w:val="0"/>
          <w:sz w:val="32"/>
          <w:szCs w:val="32"/>
          <w:lang w:val="en-US" w:eastAsia="zh-CN"/>
        </w:rPr>
        <w:t>2036.48</w:t>
      </w:r>
      <w:r>
        <w:rPr>
          <w:rFonts w:hint="eastAsia" w:ascii="仿宋" w:hAnsi="仿宋" w:eastAsia="仿宋" w:cs="仿宋"/>
          <w:color w:val="auto"/>
          <w:spacing w:val="0"/>
          <w:sz w:val="32"/>
          <w:szCs w:val="32"/>
        </w:rPr>
        <w:t>万元，较202</w:t>
      </w:r>
      <w:r>
        <w:rPr>
          <w:rFonts w:hint="eastAsia" w:cs="仿宋"/>
          <w:color w:val="auto"/>
          <w:spacing w:val="0"/>
          <w:sz w:val="32"/>
          <w:szCs w:val="32"/>
          <w:lang w:val="en-US" w:eastAsia="zh-CN"/>
        </w:rPr>
        <w:t>2</w:t>
      </w:r>
      <w:r>
        <w:rPr>
          <w:rFonts w:hint="eastAsia" w:ascii="仿宋" w:hAnsi="仿宋" w:eastAsia="仿宋" w:cs="仿宋"/>
          <w:color w:val="auto"/>
          <w:spacing w:val="0"/>
          <w:sz w:val="32"/>
          <w:szCs w:val="32"/>
        </w:rPr>
        <w:t>年决算数</w:t>
      </w:r>
      <w:r>
        <w:rPr>
          <w:rFonts w:hint="eastAsia" w:cs="仿宋"/>
          <w:color w:val="auto"/>
          <w:spacing w:val="0"/>
          <w:sz w:val="32"/>
          <w:szCs w:val="32"/>
          <w:lang w:eastAsia="zh-CN"/>
        </w:rPr>
        <w:t>增加</w:t>
      </w:r>
      <w:r>
        <w:rPr>
          <w:rFonts w:hint="eastAsia" w:cs="仿宋"/>
          <w:color w:val="auto"/>
          <w:spacing w:val="0"/>
          <w:sz w:val="32"/>
          <w:szCs w:val="32"/>
          <w:lang w:val="en-US" w:eastAsia="zh-CN"/>
        </w:rPr>
        <w:t>488.02</w:t>
      </w:r>
      <w:r>
        <w:rPr>
          <w:rFonts w:hint="eastAsia" w:ascii="仿宋" w:hAnsi="仿宋" w:eastAsia="仿宋" w:cs="仿宋"/>
          <w:color w:val="auto"/>
          <w:spacing w:val="0"/>
          <w:sz w:val="32"/>
          <w:szCs w:val="32"/>
        </w:rPr>
        <w:t>万元，</w:t>
      </w:r>
      <w:r>
        <w:rPr>
          <w:rFonts w:hint="eastAsia" w:cs="仿宋"/>
          <w:color w:val="auto"/>
          <w:spacing w:val="0"/>
          <w:sz w:val="32"/>
          <w:szCs w:val="32"/>
          <w:lang w:eastAsia="zh-CN"/>
        </w:rPr>
        <w:t>增幅</w:t>
      </w:r>
      <w:r>
        <w:rPr>
          <w:rFonts w:hint="eastAsia" w:cs="仿宋"/>
          <w:color w:val="auto"/>
          <w:spacing w:val="0"/>
          <w:sz w:val="32"/>
          <w:szCs w:val="32"/>
          <w:lang w:val="en-US" w:eastAsia="zh-CN"/>
        </w:rPr>
        <w:t>31.52</w:t>
      </w:r>
      <w:r>
        <w:rPr>
          <w:rFonts w:hint="eastAsia" w:ascii="仿宋" w:hAnsi="仿宋" w:eastAsia="仿宋" w:cs="仿宋"/>
          <w:color w:val="auto"/>
          <w:spacing w:val="0"/>
          <w:sz w:val="32"/>
          <w:szCs w:val="32"/>
        </w:rPr>
        <w:t>%，</w:t>
      </w:r>
      <w:r>
        <w:rPr>
          <w:rFonts w:hint="eastAsia" w:cs="仿宋"/>
          <w:color w:val="auto"/>
          <w:spacing w:val="0"/>
          <w:sz w:val="32"/>
          <w:szCs w:val="32"/>
          <w:lang w:eastAsia="zh-CN"/>
        </w:rPr>
        <w:t>主要原因是</w:t>
      </w:r>
      <w:r>
        <w:rPr>
          <w:rFonts w:hint="eastAsia" w:ascii="仿宋" w:hAnsi="仿宋" w:eastAsia="仿宋" w:cs="仿宋"/>
          <w:color w:val="auto"/>
          <w:spacing w:val="0"/>
          <w:sz w:val="32"/>
          <w:szCs w:val="32"/>
        </w:rPr>
        <w:t>202</w:t>
      </w:r>
      <w:r>
        <w:rPr>
          <w:rFonts w:hint="eastAsia" w:cs="仿宋"/>
          <w:color w:val="auto"/>
          <w:spacing w:val="0"/>
          <w:sz w:val="32"/>
          <w:szCs w:val="32"/>
          <w:lang w:val="en-US" w:eastAsia="zh-CN"/>
        </w:rPr>
        <w:t>3</w:t>
      </w:r>
      <w:r>
        <w:rPr>
          <w:rFonts w:hint="eastAsia" w:ascii="仿宋" w:hAnsi="仿宋" w:eastAsia="仿宋" w:cs="仿宋"/>
          <w:color w:val="auto"/>
          <w:spacing w:val="0"/>
          <w:sz w:val="32"/>
          <w:szCs w:val="32"/>
        </w:rPr>
        <w:t xml:space="preserve"> 年</w:t>
      </w:r>
      <w:r>
        <w:rPr>
          <w:rFonts w:hint="eastAsia" w:cs="仿宋"/>
          <w:color w:val="auto"/>
          <w:spacing w:val="0"/>
          <w:sz w:val="32"/>
          <w:szCs w:val="32"/>
          <w:lang w:eastAsia="zh-CN"/>
        </w:rPr>
        <w:t>残疾人医保全额代缴，项目资金增加，</w:t>
      </w:r>
      <w:r>
        <w:rPr>
          <w:rFonts w:hint="eastAsia" w:cs="仿宋"/>
          <w:color w:val="auto"/>
          <w:spacing w:val="0"/>
          <w:sz w:val="32"/>
          <w:szCs w:val="32"/>
          <w:lang w:val="en-US" w:eastAsia="zh-CN"/>
        </w:rPr>
        <w:t>2022年</w:t>
      </w:r>
      <w:r>
        <w:rPr>
          <w:rFonts w:hint="eastAsia" w:ascii="仿宋" w:hAnsi="仿宋" w:eastAsia="仿宋" w:cs="仿宋"/>
          <w:color w:val="auto"/>
          <w:spacing w:val="0"/>
          <w:sz w:val="32"/>
          <w:szCs w:val="32"/>
        </w:rPr>
        <w:t>残疾人家庭无障碍改造</w:t>
      </w:r>
      <w:r>
        <w:rPr>
          <w:rFonts w:hint="eastAsia" w:cs="仿宋"/>
          <w:color w:val="auto"/>
          <w:spacing w:val="0"/>
          <w:sz w:val="32"/>
          <w:szCs w:val="32"/>
          <w:lang w:eastAsia="zh-CN"/>
        </w:rPr>
        <w:t>项目资金存在跨年支付。</w:t>
      </w:r>
      <w:r>
        <w:rPr>
          <w:rFonts w:hint="eastAsia" w:ascii="仿宋" w:hAnsi="仿宋" w:eastAsia="仿宋" w:cs="仿宋"/>
          <w:color w:val="auto"/>
          <w:spacing w:val="0"/>
          <w:sz w:val="32"/>
          <w:szCs w:val="32"/>
        </w:rPr>
        <w:t>。</w:t>
      </w:r>
    </w:p>
    <w:p w14:paraId="67EDCF75">
      <w:pPr>
        <w:pStyle w:val="2"/>
        <w:keepNext w:val="0"/>
        <w:keepLines w:val="0"/>
        <w:pageBreakBefore w:val="0"/>
        <w:widowControl w:val="0"/>
        <w:kinsoku/>
        <w:wordWrap/>
        <w:overflowPunct/>
        <w:topLinePunct/>
        <w:autoSpaceDE w:val="0"/>
        <w:autoSpaceDN/>
        <w:bidi w:val="0"/>
        <w:adjustRightInd w:val="0"/>
        <w:snapToGrid w:val="0"/>
        <w:spacing w:before="1" w:line="298" w:lineRule="auto"/>
        <w:ind w:left="83" w:right="16" w:firstLine="584"/>
        <w:textAlignment w:val="baseline"/>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其中：基本支出</w:t>
      </w:r>
      <w:r>
        <w:rPr>
          <w:rFonts w:hint="eastAsia" w:cs="仿宋"/>
          <w:color w:val="auto"/>
          <w:spacing w:val="0"/>
          <w:sz w:val="32"/>
          <w:szCs w:val="32"/>
          <w:lang w:val="en-US" w:eastAsia="zh-CN"/>
        </w:rPr>
        <w:t>237.09</w:t>
      </w:r>
      <w:r>
        <w:rPr>
          <w:rFonts w:hint="eastAsia" w:ascii="仿宋" w:hAnsi="仿宋" w:eastAsia="仿宋" w:cs="仿宋"/>
          <w:color w:val="auto"/>
          <w:spacing w:val="0"/>
          <w:sz w:val="32"/>
          <w:szCs w:val="32"/>
        </w:rPr>
        <w:t>万元，占本年支出</w:t>
      </w:r>
      <w:r>
        <w:rPr>
          <w:rFonts w:hint="eastAsia" w:cs="仿宋"/>
          <w:color w:val="auto"/>
          <w:spacing w:val="0"/>
          <w:sz w:val="32"/>
          <w:szCs w:val="32"/>
          <w:lang w:val="en-US" w:eastAsia="zh-CN"/>
        </w:rPr>
        <w:t>11.64</w:t>
      </w:r>
      <w:r>
        <w:rPr>
          <w:rFonts w:hint="eastAsia" w:ascii="仿宋" w:hAnsi="仿宋" w:eastAsia="仿宋" w:cs="仿宋"/>
          <w:color w:val="auto"/>
          <w:spacing w:val="0"/>
          <w:sz w:val="32"/>
          <w:szCs w:val="32"/>
        </w:rPr>
        <w:t>% ；项 目支出</w:t>
      </w:r>
      <w:r>
        <w:rPr>
          <w:rFonts w:hint="eastAsia" w:cs="仿宋"/>
          <w:color w:val="auto"/>
          <w:spacing w:val="0"/>
          <w:sz w:val="32"/>
          <w:szCs w:val="32"/>
          <w:lang w:val="en-US" w:eastAsia="zh-CN"/>
        </w:rPr>
        <w:t>1799.38</w:t>
      </w:r>
      <w:r>
        <w:rPr>
          <w:rFonts w:hint="eastAsia" w:ascii="仿宋" w:hAnsi="仿宋" w:eastAsia="仿宋" w:cs="仿宋"/>
          <w:color w:val="auto"/>
          <w:spacing w:val="0"/>
          <w:sz w:val="32"/>
          <w:szCs w:val="32"/>
        </w:rPr>
        <w:t xml:space="preserve">万元，占本年支出 </w:t>
      </w:r>
      <w:r>
        <w:rPr>
          <w:rFonts w:hint="eastAsia" w:cs="仿宋"/>
          <w:color w:val="auto"/>
          <w:spacing w:val="0"/>
          <w:sz w:val="32"/>
          <w:szCs w:val="32"/>
          <w:lang w:val="en-US" w:eastAsia="zh-CN"/>
        </w:rPr>
        <w:t>88.36</w:t>
      </w:r>
      <w:r>
        <w:rPr>
          <w:rFonts w:hint="eastAsia" w:ascii="仿宋" w:hAnsi="仿宋" w:eastAsia="仿宋" w:cs="仿宋"/>
          <w:color w:val="auto"/>
          <w:spacing w:val="0"/>
          <w:sz w:val="32"/>
          <w:szCs w:val="32"/>
        </w:rPr>
        <w:t>%。</w:t>
      </w:r>
    </w:p>
    <w:p w14:paraId="268CC411">
      <w:pPr>
        <w:pStyle w:val="2"/>
        <w:keepNext w:val="0"/>
        <w:keepLines w:val="0"/>
        <w:pageBreakBefore w:val="0"/>
        <w:widowControl w:val="0"/>
        <w:kinsoku/>
        <w:wordWrap/>
        <w:overflowPunct/>
        <w:topLinePunct/>
        <w:autoSpaceDE w:val="0"/>
        <w:autoSpaceDN/>
        <w:bidi w:val="0"/>
        <w:adjustRightInd w:val="0"/>
        <w:snapToGrid w:val="0"/>
        <w:spacing w:before="103" w:line="218" w:lineRule="auto"/>
        <w:ind w:left="2887"/>
        <w:textAlignment w:val="baseline"/>
        <w:rPr>
          <w:spacing w:val="0"/>
          <w:position w:val="-76"/>
        </w:rPr>
      </w:pPr>
      <w:r>
        <w:rPr>
          <w:rFonts w:ascii="宋体" w:hAnsi="宋体" w:eastAsia="宋体" w:cs="宋体"/>
          <w:spacing w:val="0"/>
          <w:sz w:val="30"/>
          <w:szCs w:val="30"/>
        </w:rPr>
        <w:t xml:space="preserve">图 </w:t>
      </w:r>
      <w:r>
        <w:rPr>
          <w:rFonts w:ascii="Arial" w:hAnsi="Arial" w:eastAsia="Arial" w:cs="Arial"/>
          <w:spacing w:val="0"/>
          <w:sz w:val="30"/>
          <w:szCs w:val="30"/>
        </w:rPr>
        <w:t>3</w:t>
      </w:r>
      <w:r>
        <w:rPr>
          <w:spacing w:val="0"/>
          <w:sz w:val="30"/>
          <w:szCs w:val="30"/>
        </w:rPr>
        <w:t>：支出决算结</w:t>
      </w:r>
      <w:r>
        <w:rPr>
          <w:rFonts w:ascii="宋体" w:hAnsi="宋体" w:eastAsia="宋体" w:cs="宋体"/>
          <w:spacing w:val="0"/>
          <w:sz w:val="30"/>
          <w:szCs w:val="30"/>
        </w:rPr>
        <w:t>构</w:t>
      </w:r>
    </w:p>
    <w:p w14:paraId="515DC071">
      <w:pPr>
        <w:keepNext w:val="0"/>
        <w:keepLines w:val="0"/>
        <w:pageBreakBefore w:val="0"/>
        <w:widowControl w:val="0"/>
        <w:kinsoku/>
        <w:wordWrap/>
        <w:overflowPunct/>
        <w:topLinePunct/>
        <w:autoSpaceDE w:val="0"/>
        <w:autoSpaceDN/>
        <w:bidi w:val="0"/>
        <w:adjustRightInd w:val="0"/>
        <w:snapToGrid w:val="0"/>
        <w:spacing w:before="85" w:line="3833" w:lineRule="exact"/>
        <w:ind w:firstLine="1511"/>
        <w:textAlignment w:val="baseline"/>
        <w:rPr>
          <w:spacing w:val="0"/>
        </w:rPr>
      </w:pPr>
      <w:r>
        <w:rPr>
          <w:spacing w:val="0"/>
          <w:position w:val="-76"/>
        </w:rPr>
        <w:drawing>
          <wp:inline distT="0" distB="0" distL="0" distR="0">
            <wp:extent cx="3810000" cy="2298700"/>
            <wp:effectExtent l="0" t="0" r="0" b="0"/>
            <wp:docPr id="24" name="IM 24" descr="C:/Users/Administrator/Desktop/图片3.png图片3"/>
            <wp:cNvGraphicFramePr/>
            <a:graphic xmlns:a="http://schemas.openxmlformats.org/drawingml/2006/main">
              <a:graphicData uri="http://schemas.openxmlformats.org/drawingml/2006/picture">
                <pic:pic xmlns:pic="http://schemas.openxmlformats.org/drawingml/2006/picture">
                  <pic:nvPicPr>
                    <pic:cNvPr id="24" name="IM 24" descr="C:/Users/Administrator/Desktop/图片3.png图片3"/>
                    <pic:cNvPicPr/>
                  </pic:nvPicPr>
                  <pic:blipFill>
                    <a:blip r:embed="rId28"/>
                    <a:srcRect l="5441" t="2714" r="5441" b="2818"/>
                    <a:stretch>
                      <a:fillRect/>
                    </a:stretch>
                  </pic:blipFill>
                  <pic:spPr>
                    <a:xfrm>
                      <a:off x="0" y="0"/>
                      <a:ext cx="3810000" cy="2298700"/>
                    </a:xfrm>
                    <a:prstGeom prst="rect">
                      <a:avLst/>
                    </a:prstGeom>
                  </pic:spPr>
                </pic:pic>
              </a:graphicData>
            </a:graphic>
          </wp:inline>
        </w:drawing>
      </w:r>
    </w:p>
    <w:p w14:paraId="6C93ECCF">
      <w:pPr>
        <w:keepNext w:val="0"/>
        <w:keepLines w:val="0"/>
        <w:pageBreakBefore w:val="0"/>
        <w:widowControl w:val="0"/>
        <w:kinsoku/>
        <w:wordWrap/>
        <w:overflowPunct/>
        <w:topLinePunct/>
        <w:autoSpaceDE w:val="0"/>
        <w:autoSpaceDN/>
        <w:bidi w:val="0"/>
        <w:adjustRightInd w:val="0"/>
        <w:snapToGrid w:val="0"/>
        <w:spacing w:line="382" w:lineRule="auto"/>
        <w:textAlignment w:val="baseline"/>
        <w:rPr>
          <w:rFonts w:ascii="Arial"/>
          <w:spacing w:val="0"/>
          <w:sz w:val="21"/>
        </w:rPr>
      </w:pPr>
    </w:p>
    <w:p w14:paraId="5FDD39A1">
      <w:pPr>
        <w:keepNext w:val="0"/>
        <w:keepLines w:val="0"/>
        <w:pageBreakBefore w:val="0"/>
        <w:widowControl w:val="0"/>
        <w:kinsoku/>
        <w:wordWrap/>
        <w:overflowPunct/>
        <w:topLinePunct/>
        <w:autoSpaceDE w:val="0"/>
        <w:autoSpaceDN/>
        <w:bidi w:val="0"/>
        <w:adjustRightInd w:val="0"/>
        <w:snapToGrid w:val="0"/>
        <w:spacing w:before="101" w:line="226" w:lineRule="auto"/>
        <w:ind w:left="686"/>
        <w:textAlignment w:val="baseline"/>
        <w:rPr>
          <w:rFonts w:ascii="黑体" w:hAnsi="黑体" w:eastAsia="黑体" w:cs="黑体"/>
          <w:spacing w:val="0"/>
          <w:sz w:val="31"/>
          <w:szCs w:val="31"/>
        </w:rPr>
      </w:pPr>
      <w:r>
        <w:rPr>
          <w:rFonts w:ascii="黑体" w:hAnsi="黑体" w:eastAsia="黑体" w:cs="黑体"/>
          <w:spacing w:val="0"/>
          <w:sz w:val="31"/>
          <w:szCs w:val="31"/>
        </w:rPr>
        <w:t>四、财政拨款收入支出决算总体情况说明</w:t>
      </w:r>
    </w:p>
    <w:p w14:paraId="6D8641B3">
      <w:pPr>
        <w:pStyle w:val="2"/>
        <w:keepNext w:val="0"/>
        <w:keepLines w:val="0"/>
        <w:pageBreakBefore w:val="0"/>
        <w:widowControl w:val="0"/>
        <w:kinsoku/>
        <w:wordWrap/>
        <w:overflowPunct/>
        <w:topLinePunct/>
        <w:autoSpaceDE w:val="0"/>
        <w:autoSpaceDN/>
        <w:bidi w:val="0"/>
        <w:adjustRightInd w:val="0"/>
        <w:snapToGrid w:val="0"/>
        <w:spacing w:before="139" w:line="295" w:lineRule="auto"/>
        <w:ind w:left="30" w:right="15" w:firstLine="631"/>
        <w:textAlignment w:val="baseline"/>
        <w:rPr>
          <w:rFonts w:hint="eastAsia" w:ascii="仿宋" w:hAnsi="仿宋" w:eastAsia="仿宋" w:cs="仿宋"/>
          <w:b w:val="0"/>
          <w:bCs w:val="0"/>
          <w:color w:val="000000" w:themeColor="text1"/>
          <w:spacing w:val="0"/>
          <w:sz w:val="32"/>
          <w:szCs w:val="32"/>
          <w14:textFill>
            <w14:solidFill>
              <w14:schemeClr w14:val="tx1"/>
            </w14:solidFill>
          </w14:textFill>
        </w:rPr>
      </w:pPr>
      <w:r>
        <w:rPr>
          <w:rFonts w:hint="eastAsia" w:ascii="仿宋" w:hAnsi="仿宋" w:eastAsia="仿宋" w:cs="仿宋"/>
          <w:b w:val="0"/>
          <w:bCs w:val="0"/>
          <w:color w:val="000000" w:themeColor="text1"/>
          <w:spacing w:val="0"/>
          <w:sz w:val="32"/>
          <w:szCs w:val="32"/>
          <w14:textFill>
            <w14:solidFill>
              <w14:schemeClr w14:val="tx1"/>
            </w14:solidFill>
          </w14:textFill>
        </w:rPr>
        <w:t>202</w:t>
      </w:r>
      <w:r>
        <w:rPr>
          <w:rFonts w:hint="eastAsia" w:cs="仿宋"/>
          <w:b w:val="0"/>
          <w:bCs w:val="0"/>
          <w:color w:val="000000" w:themeColor="text1"/>
          <w:spacing w:val="0"/>
          <w:sz w:val="32"/>
          <w:szCs w:val="32"/>
          <w:lang w:val="en-US" w:eastAsia="zh-CN"/>
          <w14:textFill>
            <w14:solidFill>
              <w14:schemeClr w14:val="tx1"/>
            </w14:solidFill>
          </w14:textFill>
        </w:rPr>
        <w:t>3</w:t>
      </w:r>
      <w:r>
        <w:rPr>
          <w:rFonts w:hint="eastAsia" w:ascii="仿宋" w:hAnsi="仿宋" w:eastAsia="仿宋" w:cs="仿宋"/>
          <w:b w:val="0"/>
          <w:bCs w:val="0"/>
          <w:color w:val="000000" w:themeColor="text1"/>
          <w:spacing w:val="0"/>
          <w:sz w:val="32"/>
          <w:szCs w:val="32"/>
          <w14:textFill>
            <w14:solidFill>
              <w14:schemeClr w14:val="tx1"/>
            </w14:solidFill>
          </w14:textFill>
        </w:rPr>
        <w:t>年度财政拨款收、支总计均为</w:t>
      </w:r>
      <w:r>
        <w:rPr>
          <w:rFonts w:hint="eastAsia" w:cs="仿宋"/>
          <w:b w:val="0"/>
          <w:bCs w:val="0"/>
          <w:color w:val="000000" w:themeColor="text1"/>
          <w:spacing w:val="0"/>
          <w:sz w:val="32"/>
          <w:szCs w:val="32"/>
          <w:lang w:val="en-US" w:eastAsia="zh-CN"/>
          <w14:textFill>
            <w14:solidFill>
              <w14:schemeClr w14:val="tx1"/>
            </w14:solidFill>
          </w14:textFill>
        </w:rPr>
        <w:t>1993.88</w:t>
      </w:r>
      <w:r>
        <w:rPr>
          <w:rFonts w:hint="eastAsia" w:ascii="仿宋" w:hAnsi="仿宋" w:eastAsia="仿宋" w:cs="仿宋"/>
          <w:b w:val="0"/>
          <w:bCs w:val="0"/>
          <w:color w:val="000000" w:themeColor="text1"/>
          <w:spacing w:val="0"/>
          <w:sz w:val="32"/>
          <w:szCs w:val="32"/>
          <w14:textFill>
            <w14:solidFill>
              <w14:schemeClr w14:val="tx1"/>
            </w14:solidFill>
          </w14:textFill>
        </w:rPr>
        <w:t>万元。与 202</w:t>
      </w:r>
      <w:r>
        <w:rPr>
          <w:rFonts w:hint="eastAsia" w:cs="仿宋"/>
          <w:b w:val="0"/>
          <w:bCs w:val="0"/>
          <w:color w:val="000000" w:themeColor="text1"/>
          <w:spacing w:val="0"/>
          <w:sz w:val="32"/>
          <w:szCs w:val="32"/>
          <w:lang w:val="en-US" w:eastAsia="zh-CN"/>
          <w14:textFill>
            <w14:solidFill>
              <w14:schemeClr w14:val="tx1"/>
            </w14:solidFill>
          </w14:textFill>
        </w:rPr>
        <w:t>2</w:t>
      </w:r>
      <w:r>
        <w:rPr>
          <w:rFonts w:hint="eastAsia" w:ascii="仿宋" w:hAnsi="仿宋" w:eastAsia="仿宋" w:cs="仿宋"/>
          <w:b w:val="0"/>
          <w:bCs w:val="0"/>
          <w:color w:val="000000" w:themeColor="text1"/>
          <w:spacing w:val="0"/>
          <w:sz w:val="32"/>
          <w:szCs w:val="32"/>
          <w14:textFill>
            <w14:solidFill>
              <w14:schemeClr w14:val="tx1"/>
            </w14:solidFill>
          </w14:textFill>
        </w:rPr>
        <w:t>年度相比，财政拨款收、支总计各</w:t>
      </w:r>
      <w:r>
        <w:rPr>
          <w:rFonts w:hint="eastAsia" w:cs="仿宋"/>
          <w:b w:val="0"/>
          <w:bCs w:val="0"/>
          <w:color w:val="000000" w:themeColor="text1"/>
          <w:spacing w:val="0"/>
          <w:sz w:val="32"/>
          <w:szCs w:val="32"/>
          <w:lang w:eastAsia="zh-CN"/>
          <w14:textFill>
            <w14:solidFill>
              <w14:schemeClr w14:val="tx1"/>
            </w14:solidFill>
          </w14:textFill>
        </w:rPr>
        <w:t>增加</w:t>
      </w:r>
      <w:r>
        <w:rPr>
          <w:rFonts w:hint="eastAsia" w:cs="仿宋"/>
          <w:b w:val="0"/>
          <w:bCs w:val="0"/>
          <w:color w:val="000000" w:themeColor="text1"/>
          <w:spacing w:val="0"/>
          <w:sz w:val="32"/>
          <w:szCs w:val="32"/>
          <w:lang w:val="en-US" w:eastAsia="zh-CN"/>
          <w14:textFill>
            <w14:solidFill>
              <w14:schemeClr w14:val="tx1"/>
            </w14:solidFill>
          </w14:textFill>
        </w:rPr>
        <w:t>663.8</w:t>
      </w:r>
      <w:r>
        <w:rPr>
          <w:rFonts w:hint="eastAsia" w:ascii="仿宋" w:hAnsi="仿宋" w:eastAsia="仿宋" w:cs="仿宋"/>
          <w:b w:val="0"/>
          <w:bCs w:val="0"/>
          <w:color w:val="000000" w:themeColor="text1"/>
          <w:spacing w:val="0"/>
          <w:sz w:val="32"/>
          <w:szCs w:val="32"/>
          <w14:textFill>
            <w14:solidFill>
              <w14:schemeClr w14:val="tx1"/>
            </w14:solidFill>
          </w14:textFill>
        </w:rPr>
        <w:t>万元，</w:t>
      </w:r>
      <w:r>
        <w:rPr>
          <w:rFonts w:hint="eastAsia" w:cs="仿宋"/>
          <w:b w:val="0"/>
          <w:bCs w:val="0"/>
          <w:color w:val="000000" w:themeColor="text1"/>
          <w:spacing w:val="0"/>
          <w:sz w:val="32"/>
          <w:szCs w:val="32"/>
          <w:lang w:eastAsia="zh-CN"/>
          <w14:textFill>
            <w14:solidFill>
              <w14:schemeClr w14:val="tx1"/>
            </w14:solidFill>
          </w14:textFill>
        </w:rPr>
        <w:t>增长</w:t>
      </w:r>
      <w:r>
        <w:rPr>
          <w:rFonts w:hint="eastAsia" w:cs="仿宋"/>
          <w:b w:val="0"/>
          <w:bCs w:val="0"/>
          <w:color w:val="000000" w:themeColor="text1"/>
          <w:spacing w:val="0"/>
          <w:sz w:val="32"/>
          <w:szCs w:val="32"/>
          <w:lang w:val="en-US" w:eastAsia="zh-CN"/>
          <w14:textFill>
            <w14:solidFill>
              <w14:schemeClr w14:val="tx1"/>
            </w14:solidFill>
          </w14:textFill>
        </w:rPr>
        <w:t>42.82</w:t>
      </w:r>
      <w:r>
        <w:rPr>
          <w:rFonts w:hint="eastAsia" w:ascii="仿宋" w:hAnsi="仿宋" w:eastAsia="仿宋" w:cs="仿宋"/>
          <w:b w:val="0"/>
          <w:bCs w:val="0"/>
          <w:color w:val="000000" w:themeColor="text1"/>
          <w:spacing w:val="0"/>
          <w:sz w:val="32"/>
          <w:szCs w:val="32"/>
          <w14:textFill>
            <w14:solidFill>
              <w14:schemeClr w14:val="tx1"/>
            </w14:solidFill>
          </w14:textFill>
        </w:rPr>
        <w:t>%</w:t>
      </w:r>
      <w:r>
        <w:rPr>
          <w:rFonts w:hint="eastAsia" w:ascii="仿宋" w:hAnsi="仿宋" w:eastAsia="仿宋" w:cs="仿宋"/>
          <w:b w:val="0"/>
          <w:bCs w:val="0"/>
          <w:color w:val="000000" w:themeColor="text1"/>
          <w:spacing w:val="0"/>
          <w:sz w:val="32"/>
          <w:szCs w:val="32"/>
          <w:highlight w:val="none"/>
          <w14:textFill>
            <w14:solidFill>
              <w14:schemeClr w14:val="tx1"/>
            </w14:solidFill>
          </w14:textFill>
        </w:rPr>
        <w:t>。主要原因是基建项目按进度拨付，202</w:t>
      </w:r>
      <w:r>
        <w:rPr>
          <w:rFonts w:hint="eastAsia" w:cs="仿宋"/>
          <w:b w:val="0"/>
          <w:bCs w:val="0"/>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 w:cs="仿宋"/>
          <w:b w:val="0"/>
          <w:bCs w:val="0"/>
          <w:color w:val="000000" w:themeColor="text1"/>
          <w:spacing w:val="0"/>
          <w:sz w:val="32"/>
          <w:szCs w:val="32"/>
          <w:highlight w:val="none"/>
          <w14:textFill>
            <w14:solidFill>
              <w14:schemeClr w14:val="tx1"/>
            </w14:solidFill>
          </w14:textFill>
        </w:rPr>
        <w:t>年部分项目存在跨年支付，于 202</w:t>
      </w:r>
      <w:r>
        <w:rPr>
          <w:rFonts w:hint="eastAsia" w:cs="仿宋"/>
          <w:b w:val="0"/>
          <w:bCs w:val="0"/>
          <w:color w:val="000000" w:themeColor="text1"/>
          <w:spacing w:val="0"/>
          <w:sz w:val="32"/>
          <w:szCs w:val="32"/>
          <w:highlight w:val="none"/>
          <w:lang w:val="en-US" w:eastAsia="zh-CN"/>
          <w14:textFill>
            <w14:solidFill>
              <w14:schemeClr w14:val="tx1"/>
            </w14:solidFill>
          </w14:textFill>
        </w:rPr>
        <w:t>3</w:t>
      </w:r>
      <w:r>
        <w:rPr>
          <w:rFonts w:hint="eastAsia" w:ascii="仿宋" w:hAnsi="仿宋" w:eastAsia="仿宋" w:cs="仿宋"/>
          <w:b w:val="0"/>
          <w:bCs w:val="0"/>
          <w:color w:val="000000" w:themeColor="text1"/>
          <w:spacing w:val="0"/>
          <w:sz w:val="32"/>
          <w:szCs w:val="32"/>
          <w:highlight w:val="none"/>
          <w14:textFill>
            <w14:solidFill>
              <w14:schemeClr w14:val="tx1"/>
            </w14:solidFill>
          </w14:textFill>
        </w:rPr>
        <w:t>年年初支付。</w:t>
      </w:r>
    </w:p>
    <w:p w14:paraId="0E585A1C">
      <w:pPr>
        <w:pStyle w:val="2"/>
        <w:keepNext w:val="0"/>
        <w:keepLines w:val="0"/>
        <w:pageBreakBefore w:val="0"/>
        <w:widowControl w:val="0"/>
        <w:kinsoku/>
        <w:wordWrap/>
        <w:overflowPunct/>
        <w:topLinePunct/>
        <w:autoSpaceDE w:val="0"/>
        <w:autoSpaceDN/>
        <w:bidi w:val="0"/>
        <w:adjustRightInd w:val="0"/>
        <w:snapToGrid w:val="0"/>
        <w:spacing w:before="134" w:line="304" w:lineRule="auto"/>
        <w:ind w:left="20" w:right="81" w:firstLine="640"/>
        <w:jc w:val="both"/>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ascii="仿宋" w:hAnsi="仿宋" w:eastAsia="仿宋" w:cs="仿宋"/>
          <w:color w:val="000000" w:themeColor="text1"/>
          <w:spacing w:val="0"/>
          <w:sz w:val="32"/>
          <w:szCs w:val="32"/>
          <w14:textFill>
            <w14:solidFill>
              <w14:schemeClr w14:val="tx1"/>
            </w14:solidFill>
          </w14:textFill>
        </w:rPr>
        <w:t>202</w:t>
      </w:r>
      <w:r>
        <w:rPr>
          <w:rFonts w:hint="eastAsia" w:cs="仿宋"/>
          <w:color w:val="000000" w:themeColor="text1"/>
          <w:spacing w:val="0"/>
          <w:sz w:val="32"/>
          <w:szCs w:val="32"/>
          <w:lang w:val="en-US" w:eastAsia="zh-CN"/>
          <w14:textFill>
            <w14:solidFill>
              <w14:schemeClr w14:val="tx1"/>
            </w14:solidFill>
          </w14:textFill>
        </w:rPr>
        <w:t>3</w:t>
      </w:r>
      <w:r>
        <w:rPr>
          <w:rFonts w:hint="eastAsia" w:ascii="仿宋" w:hAnsi="仿宋" w:eastAsia="仿宋" w:cs="仿宋"/>
          <w:color w:val="000000" w:themeColor="text1"/>
          <w:spacing w:val="0"/>
          <w:sz w:val="32"/>
          <w:szCs w:val="32"/>
          <w14:textFill>
            <w14:solidFill>
              <w14:schemeClr w14:val="tx1"/>
            </w14:solidFill>
          </w14:textFill>
        </w:rPr>
        <w:t xml:space="preserve">年度财政拨款收入中，一般公共预算财政拨款收入 </w:t>
      </w:r>
      <w:r>
        <w:rPr>
          <w:rFonts w:hint="eastAsia" w:cs="仿宋"/>
          <w:color w:val="000000" w:themeColor="text1"/>
          <w:spacing w:val="0"/>
          <w:sz w:val="32"/>
          <w:szCs w:val="32"/>
          <w:lang w:val="en-US" w:eastAsia="zh-CN"/>
          <w14:textFill>
            <w14:solidFill>
              <w14:schemeClr w14:val="tx1"/>
            </w14:solidFill>
          </w14:textFill>
        </w:rPr>
        <w:t>1710.99</w:t>
      </w:r>
      <w:r>
        <w:rPr>
          <w:rFonts w:hint="eastAsia" w:ascii="仿宋" w:hAnsi="仿宋" w:eastAsia="仿宋" w:cs="仿宋"/>
          <w:color w:val="000000" w:themeColor="text1"/>
          <w:spacing w:val="0"/>
          <w:sz w:val="32"/>
          <w:szCs w:val="32"/>
          <w14:textFill>
            <w14:solidFill>
              <w14:schemeClr w14:val="tx1"/>
            </w14:solidFill>
          </w14:textFill>
        </w:rPr>
        <w:t>万元，比202</w:t>
      </w:r>
      <w:r>
        <w:rPr>
          <w:rFonts w:hint="eastAsia" w:cs="仿宋"/>
          <w:color w:val="000000" w:themeColor="text1"/>
          <w:spacing w:val="0"/>
          <w:sz w:val="32"/>
          <w:szCs w:val="32"/>
          <w:lang w:val="en-US" w:eastAsia="zh-CN"/>
          <w14:textFill>
            <w14:solidFill>
              <w14:schemeClr w14:val="tx1"/>
            </w14:solidFill>
          </w14:textFill>
        </w:rPr>
        <w:t>2</w:t>
      </w:r>
      <w:r>
        <w:rPr>
          <w:rFonts w:hint="eastAsia" w:ascii="仿宋" w:hAnsi="仿宋" w:eastAsia="仿宋" w:cs="仿宋"/>
          <w:color w:val="000000" w:themeColor="text1"/>
          <w:spacing w:val="0"/>
          <w:sz w:val="32"/>
          <w:szCs w:val="32"/>
          <w14:textFill>
            <w14:solidFill>
              <w14:schemeClr w14:val="tx1"/>
            </w14:solidFill>
          </w14:textFill>
        </w:rPr>
        <w:t>年度决算数增加</w:t>
      </w:r>
      <w:r>
        <w:rPr>
          <w:rFonts w:hint="eastAsia" w:cs="仿宋"/>
          <w:color w:val="000000" w:themeColor="text1"/>
          <w:spacing w:val="0"/>
          <w:sz w:val="32"/>
          <w:szCs w:val="32"/>
          <w:lang w:val="en-US" w:eastAsia="zh-CN"/>
          <w14:textFill>
            <w14:solidFill>
              <w14:schemeClr w14:val="tx1"/>
            </w14:solidFill>
          </w14:textFill>
        </w:rPr>
        <w:t>897.23</w:t>
      </w:r>
      <w:r>
        <w:rPr>
          <w:rFonts w:hint="eastAsia" w:ascii="仿宋" w:hAnsi="仿宋" w:eastAsia="仿宋" w:cs="仿宋"/>
          <w:color w:val="000000" w:themeColor="text1"/>
          <w:spacing w:val="0"/>
          <w:sz w:val="32"/>
          <w:szCs w:val="32"/>
          <w14:textFill>
            <w14:solidFill>
              <w14:schemeClr w14:val="tx1"/>
            </w14:solidFill>
          </w14:textFill>
        </w:rPr>
        <w:t>万元。增加主要原因是202</w:t>
      </w:r>
      <w:r>
        <w:rPr>
          <w:rFonts w:hint="eastAsia" w:ascii="仿宋" w:hAnsi="仿宋" w:eastAsia="仿宋" w:cs="仿宋"/>
          <w:color w:val="000000" w:themeColor="text1"/>
          <w:spacing w:val="0"/>
          <w:sz w:val="32"/>
          <w:szCs w:val="32"/>
          <w:lang w:val="en-US" w:eastAsia="zh-CN"/>
          <w14:textFill>
            <w14:solidFill>
              <w14:schemeClr w14:val="tx1"/>
            </w14:solidFill>
          </w14:textFill>
        </w:rPr>
        <w:t>2</w:t>
      </w:r>
      <w:r>
        <w:rPr>
          <w:rFonts w:hint="eastAsia" w:ascii="仿宋" w:hAnsi="仿宋" w:eastAsia="仿宋" w:cs="仿宋"/>
          <w:color w:val="000000" w:themeColor="text1"/>
          <w:spacing w:val="0"/>
          <w:sz w:val="32"/>
          <w:szCs w:val="32"/>
          <w14:textFill>
            <w14:solidFill>
              <w14:schemeClr w14:val="tx1"/>
            </w14:solidFill>
          </w14:textFill>
        </w:rPr>
        <w:t>年部分项目存在跨年支付，于 202</w:t>
      </w:r>
      <w:r>
        <w:rPr>
          <w:rFonts w:hint="eastAsia" w:ascii="仿宋" w:hAnsi="仿宋" w:eastAsia="仿宋" w:cs="仿宋"/>
          <w:color w:val="000000" w:themeColor="text1"/>
          <w:spacing w:val="0"/>
          <w:sz w:val="32"/>
          <w:szCs w:val="32"/>
          <w:lang w:val="en-US" w:eastAsia="zh-CN"/>
          <w14:textFill>
            <w14:solidFill>
              <w14:schemeClr w14:val="tx1"/>
            </w14:solidFill>
          </w14:textFill>
        </w:rPr>
        <w:t>3</w:t>
      </w:r>
      <w:r>
        <w:rPr>
          <w:rFonts w:hint="eastAsia" w:ascii="仿宋" w:hAnsi="仿宋" w:eastAsia="仿宋" w:cs="仿宋"/>
          <w:color w:val="000000" w:themeColor="text1"/>
          <w:spacing w:val="0"/>
          <w:sz w:val="32"/>
          <w:szCs w:val="32"/>
          <w14:textFill>
            <w14:solidFill>
              <w14:schemeClr w14:val="tx1"/>
            </w14:solidFill>
          </w14:textFill>
        </w:rPr>
        <w:t>年年初支付，</w:t>
      </w:r>
      <w:r>
        <w:rPr>
          <w:rFonts w:hint="eastAsia" w:ascii="仿宋" w:hAnsi="仿宋" w:eastAsia="仿宋" w:cs="仿宋"/>
          <w:color w:val="000000" w:themeColor="text1"/>
          <w:spacing w:val="0"/>
          <w:sz w:val="32"/>
          <w:szCs w:val="32"/>
          <w:lang w:val="en-US" w:eastAsia="zh-CN"/>
          <w14:textFill>
            <w14:solidFill>
              <w14:schemeClr w14:val="tx1"/>
            </w14:solidFill>
          </w14:textFill>
        </w:rPr>
        <w:t>2023年</w:t>
      </w:r>
      <w:r>
        <w:rPr>
          <w:rFonts w:hint="eastAsia" w:ascii="仿宋" w:hAnsi="仿宋" w:eastAsia="仿宋" w:cs="仿宋"/>
          <w:color w:val="000000" w:themeColor="text1"/>
          <w:spacing w:val="0"/>
          <w:sz w:val="32"/>
          <w:szCs w:val="32"/>
          <w:lang w:eastAsia="zh-CN"/>
          <w14:textFill>
            <w14:solidFill>
              <w14:schemeClr w14:val="tx1"/>
            </w14:solidFill>
          </w14:textFill>
        </w:rPr>
        <w:t>残疾人医保全额代缴。</w:t>
      </w:r>
    </w:p>
    <w:p w14:paraId="35C901C3">
      <w:pPr>
        <w:pStyle w:val="2"/>
        <w:keepNext w:val="0"/>
        <w:keepLines w:val="0"/>
        <w:pageBreakBefore w:val="0"/>
        <w:widowControl w:val="0"/>
        <w:kinsoku/>
        <w:wordWrap/>
        <w:overflowPunct/>
        <w:topLinePunct/>
        <w:autoSpaceDE w:val="0"/>
        <w:autoSpaceDN/>
        <w:bidi w:val="0"/>
        <w:adjustRightInd w:val="0"/>
        <w:snapToGrid w:val="0"/>
        <w:spacing w:before="134" w:line="304" w:lineRule="auto"/>
        <w:ind w:right="81" w:firstLine="640" w:firstLineChars="200"/>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政府性基金预算财政拨款</w:t>
      </w:r>
      <w:r>
        <w:rPr>
          <w:rFonts w:hint="eastAsia" w:ascii="仿宋" w:hAnsi="仿宋" w:eastAsia="仿宋" w:cs="仿宋"/>
          <w:color w:val="000000" w:themeColor="text1"/>
          <w:spacing w:val="0"/>
          <w:sz w:val="32"/>
          <w:szCs w:val="32"/>
          <w14:textFill>
            <w14:solidFill>
              <w14:schemeClr w14:val="tx1"/>
            </w14:solidFill>
          </w14:textFill>
        </w:rPr>
        <w:t>收入</w:t>
      </w:r>
      <w:r>
        <w:rPr>
          <w:rFonts w:hint="eastAsia" w:cs="仿宋"/>
          <w:color w:val="000000" w:themeColor="text1"/>
          <w:spacing w:val="0"/>
          <w:sz w:val="32"/>
          <w:szCs w:val="32"/>
          <w:lang w:val="en-US" w:eastAsia="zh-CN"/>
          <w14:textFill>
            <w14:solidFill>
              <w14:schemeClr w14:val="tx1"/>
            </w14:solidFill>
          </w14:textFill>
        </w:rPr>
        <w:t>282.89</w:t>
      </w:r>
      <w:r>
        <w:rPr>
          <w:rFonts w:hint="eastAsia" w:ascii="仿宋" w:hAnsi="仿宋" w:eastAsia="仿宋" w:cs="仿宋"/>
          <w:color w:val="000000" w:themeColor="text1"/>
          <w:spacing w:val="0"/>
          <w:sz w:val="32"/>
          <w:szCs w:val="32"/>
          <w14:textFill>
            <w14:solidFill>
              <w14:schemeClr w14:val="tx1"/>
            </w14:solidFill>
          </w14:textFill>
        </w:rPr>
        <w:t>万</w:t>
      </w:r>
      <w:r>
        <w:rPr>
          <w:rFonts w:hint="eastAsia" w:ascii="仿宋" w:hAnsi="仿宋" w:eastAsia="仿宋" w:cs="仿宋"/>
          <w:spacing w:val="0"/>
          <w:sz w:val="32"/>
          <w:szCs w:val="32"/>
        </w:rPr>
        <w:t>元，</w:t>
      </w:r>
      <w:r>
        <w:rPr>
          <w:rFonts w:hint="eastAsia" w:cs="仿宋"/>
          <w:spacing w:val="0"/>
          <w:sz w:val="32"/>
          <w:szCs w:val="32"/>
          <w:lang w:eastAsia="zh-CN"/>
        </w:rPr>
        <w:t>比</w:t>
      </w:r>
      <w:r>
        <w:rPr>
          <w:rFonts w:hint="eastAsia" w:ascii="仿宋" w:hAnsi="仿宋" w:eastAsia="仿宋" w:cs="仿宋"/>
          <w:spacing w:val="0"/>
          <w:sz w:val="32"/>
          <w:szCs w:val="32"/>
        </w:rPr>
        <w:t>202</w:t>
      </w:r>
      <w:r>
        <w:rPr>
          <w:rFonts w:hint="eastAsia" w:cs="仿宋"/>
          <w:spacing w:val="0"/>
          <w:sz w:val="32"/>
          <w:szCs w:val="32"/>
          <w:lang w:val="en-US" w:eastAsia="zh-CN"/>
        </w:rPr>
        <w:t>2</w:t>
      </w:r>
      <w:r>
        <w:rPr>
          <w:rFonts w:hint="eastAsia" w:ascii="仿宋" w:hAnsi="仿宋" w:eastAsia="仿宋" w:cs="仿宋"/>
          <w:spacing w:val="0"/>
          <w:sz w:val="32"/>
          <w:szCs w:val="32"/>
        </w:rPr>
        <w:t>年度</w:t>
      </w:r>
      <w:r>
        <w:rPr>
          <w:rFonts w:hint="eastAsia" w:cs="仿宋"/>
          <w:spacing w:val="0"/>
          <w:sz w:val="32"/>
          <w:szCs w:val="32"/>
          <w:lang w:eastAsia="zh-CN"/>
        </w:rPr>
        <w:t>增加，主要原因是</w:t>
      </w:r>
      <w:r>
        <w:rPr>
          <w:rFonts w:hint="eastAsia" w:ascii="仿宋" w:hAnsi="仿宋" w:eastAsia="仿宋" w:cs="仿宋"/>
          <w:color w:val="000000" w:themeColor="text1"/>
          <w:spacing w:val="0"/>
          <w:sz w:val="32"/>
          <w:szCs w:val="32"/>
          <w:highlight w:val="none"/>
          <w14:textFill>
            <w14:solidFill>
              <w14:schemeClr w14:val="tx1"/>
            </w14:solidFill>
          </w14:textFill>
        </w:rPr>
        <w:t>202</w:t>
      </w:r>
      <w:r>
        <w:rPr>
          <w:rFonts w:hint="eastAsia" w:cs="仿宋"/>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 w:cs="仿宋"/>
          <w:color w:val="000000" w:themeColor="text1"/>
          <w:spacing w:val="0"/>
          <w:sz w:val="32"/>
          <w:szCs w:val="32"/>
          <w:highlight w:val="none"/>
          <w14:textFill>
            <w14:solidFill>
              <w14:schemeClr w14:val="tx1"/>
            </w14:solidFill>
          </w14:textFill>
        </w:rPr>
        <w:t>年部分项目存在跨年支付</w:t>
      </w:r>
      <w:r>
        <w:rPr>
          <w:rFonts w:hint="eastAsia" w:cs="仿宋"/>
          <w:color w:val="000000" w:themeColor="text1"/>
          <w:spacing w:val="0"/>
          <w:sz w:val="32"/>
          <w:szCs w:val="32"/>
          <w:highlight w:val="none"/>
          <w:lang w:eastAsia="zh-CN"/>
          <w14:textFill>
            <w14:solidFill>
              <w14:schemeClr w14:val="tx1"/>
            </w14:solidFill>
          </w14:textFill>
        </w:rPr>
        <w:t>，财政收回后</w:t>
      </w:r>
      <w:r>
        <w:rPr>
          <w:rFonts w:hint="eastAsia" w:cs="仿宋"/>
          <w:color w:val="000000" w:themeColor="text1"/>
          <w:spacing w:val="0"/>
          <w:sz w:val="32"/>
          <w:szCs w:val="32"/>
          <w:highlight w:val="none"/>
          <w:lang w:val="en-US" w:eastAsia="zh-CN"/>
          <w14:textFill>
            <w14:solidFill>
              <w14:schemeClr w14:val="tx1"/>
            </w14:solidFill>
          </w14:textFill>
        </w:rPr>
        <w:t>2023年重新拨付</w:t>
      </w:r>
      <w:r>
        <w:rPr>
          <w:rFonts w:hint="eastAsia" w:ascii="仿宋" w:hAnsi="仿宋" w:eastAsia="仿宋" w:cs="仿宋"/>
          <w:spacing w:val="0"/>
          <w:sz w:val="32"/>
          <w:szCs w:val="32"/>
        </w:rPr>
        <w:t>。国有资本经营预算财政拨款收入0万元，与202</w:t>
      </w:r>
      <w:r>
        <w:rPr>
          <w:rFonts w:hint="eastAsia" w:cs="仿宋"/>
          <w:spacing w:val="0"/>
          <w:sz w:val="32"/>
          <w:szCs w:val="32"/>
          <w:lang w:val="en-US" w:eastAsia="zh-CN"/>
        </w:rPr>
        <w:t>2</w:t>
      </w:r>
      <w:r>
        <w:rPr>
          <w:rFonts w:hint="eastAsia" w:ascii="仿宋" w:hAnsi="仿宋" w:eastAsia="仿宋" w:cs="仿宋"/>
          <w:spacing w:val="0"/>
          <w:sz w:val="32"/>
          <w:szCs w:val="32"/>
        </w:rPr>
        <w:t>年度决算数一致。</w:t>
      </w:r>
    </w:p>
    <w:p w14:paraId="6F0B580A">
      <w:pPr>
        <w:pStyle w:val="2"/>
        <w:keepNext w:val="0"/>
        <w:keepLines w:val="0"/>
        <w:pageBreakBefore w:val="0"/>
        <w:widowControl w:val="0"/>
        <w:kinsoku/>
        <w:wordWrap/>
        <w:overflowPunct/>
        <w:topLinePunct/>
        <w:autoSpaceDE w:val="0"/>
        <w:autoSpaceDN/>
        <w:bidi w:val="0"/>
        <w:adjustRightInd w:val="0"/>
        <w:snapToGrid w:val="0"/>
        <w:spacing w:before="68" w:line="218" w:lineRule="auto"/>
        <w:ind w:left="1535"/>
        <w:textAlignment w:val="baseline"/>
        <w:rPr>
          <w:spacing w:val="0"/>
          <w:position w:val="-73"/>
        </w:rPr>
      </w:pPr>
      <w:r>
        <w:rPr>
          <w:rFonts w:ascii="宋体" w:hAnsi="宋体" w:eastAsia="宋体" w:cs="宋体"/>
          <w:spacing w:val="0"/>
          <w:sz w:val="30"/>
          <w:szCs w:val="30"/>
        </w:rPr>
        <w:t xml:space="preserve">图 </w:t>
      </w:r>
      <w:r>
        <w:rPr>
          <w:rFonts w:ascii="Arial" w:hAnsi="Arial" w:eastAsia="Arial" w:cs="Arial"/>
          <w:spacing w:val="0"/>
          <w:sz w:val="30"/>
          <w:szCs w:val="30"/>
        </w:rPr>
        <w:t>4</w:t>
      </w:r>
      <w:r>
        <w:rPr>
          <w:spacing w:val="0"/>
          <w:sz w:val="30"/>
          <w:szCs w:val="30"/>
        </w:rPr>
        <w:t>：财政拨款</w:t>
      </w:r>
      <w:r>
        <w:rPr>
          <w:rFonts w:ascii="宋体" w:hAnsi="宋体" w:eastAsia="宋体" w:cs="宋体"/>
          <w:spacing w:val="0"/>
          <w:sz w:val="30"/>
          <w:szCs w:val="30"/>
        </w:rPr>
        <w:t>收、</w:t>
      </w:r>
      <w:r>
        <w:rPr>
          <w:spacing w:val="0"/>
          <w:sz w:val="30"/>
          <w:szCs w:val="30"/>
        </w:rPr>
        <w:t>支决算</w:t>
      </w:r>
      <w:r>
        <w:rPr>
          <w:rFonts w:ascii="宋体" w:hAnsi="宋体" w:eastAsia="宋体" w:cs="宋体"/>
          <w:spacing w:val="0"/>
          <w:sz w:val="30"/>
          <w:szCs w:val="30"/>
        </w:rPr>
        <w:t>总计变动</w:t>
      </w:r>
      <w:r>
        <w:rPr>
          <w:spacing w:val="0"/>
          <w:sz w:val="30"/>
          <w:szCs w:val="30"/>
        </w:rPr>
        <w:t>情况</w:t>
      </w:r>
    </w:p>
    <w:p w14:paraId="4B856355">
      <w:pPr>
        <w:keepNext w:val="0"/>
        <w:keepLines w:val="0"/>
        <w:pageBreakBefore w:val="0"/>
        <w:widowControl w:val="0"/>
        <w:kinsoku/>
        <w:wordWrap/>
        <w:overflowPunct/>
        <w:topLinePunct/>
        <w:autoSpaceDE w:val="0"/>
        <w:autoSpaceDN/>
        <w:bidi w:val="0"/>
        <w:adjustRightInd w:val="0"/>
        <w:snapToGrid w:val="0"/>
        <w:spacing w:before="137" w:line="3660" w:lineRule="exact"/>
        <w:ind w:firstLine="378"/>
        <w:textAlignment w:val="baseline"/>
        <w:rPr>
          <w:spacing w:val="0"/>
        </w:rPr>
      </w:pPr>
      <w:r>
        <w:rPr>
          <w:spacing w:val="0"/>
          <w:position w:val="-73"/>
        </w:rPr>
        <w:drawing>
          <wp:inline distT="0" distB="0" distL="0" distR="0">
            <wp:extent cx="4094480" cy="2321560"/>
            <wp:effectExtent l="0" t="0" r="1270" b="2540"/>
            <wp:docPr id="26" name="IM 26" descr="C:/Users/Administrator/Desktop/图片5.png图片5"/>
            <wp:cNvGraphicFramePr/>
            <a:graphic xmlns:a="http://schemas.openxmlformats.org/drawingml/2006/main">
              <a:graphicData uri="http://schemas.openxmlformats.org/drawingml/2006/picture">
                <pic:pic xmlns:pic="http://schemas.openxmlformats.org/drawingml/2006/picture">
                  <pic:nvPicPr>
                    <pic:cNvPr id="26" name="IM 26" descr="C:/Users/Administrator/Desktop/图片5.png图片5"/>
                    <pic:cNvPicPr/>
                  </pic:nvPicPr>
                  <pic:blipFill>
                    <a:blip r:embed="rId29"/>
                    <a:srcRect l="1088" t="-8068" r="1151" b="2342"/>
                    <a:stretch>
                      <a:fillRect/>
                    </a:stretch>
                  </pic:blipFill>
                  <pic:spPr>
                    <a:xfrm>
                      <a:off x="0" y="0"/>
                      <a:ext cx="4094480" cy="2321560"/>
                    </a:xfrm>
                    <a:prstGeom prst="rect">
                      <a:avLst/>
                    </a:prstGeom>
                  </pic:spPr>
                </pic:pic>
              </a:graphicData>
            </a:graphic>
          </wp:inline>
        </w:drawing>
      </w:r>
    </w:p>
    <w:p w14:paraId="17DCF4EF">
      <w:pPr>
        <w:keepNext w:val="0"/>
        <w:keepLines w:val="0"/>
        <w:pageBreakBefore w:val="0"/>
        <w:widowControl w:val="0"/>
        <w:kinsoku/>
        <w:wordWrap/>
        <w:overflowPunct/>
        <w:topLinePunct/>
        <w:autoSpaceDE w:val="0"/>
        <w:autoSpaceDN/>
        <w:bidi w:val="0"/>
        <w:adjustRightInd w:val="0"/>
        <w:snapToGrid w:val="0"/>
        <w:spacing w:line="408" w:lineRule="auto"/>
        <w:textAlignment w:val="baseline"/>
        <w:rPr>
          <w:rFonts w:ascii="Arial"/>
          <w:spacing w:val="0"/>
          <w:sz w:val="21"/>
        </w:rPr>
      </w:pPr>
    </w:p>
    <w:p w14:paraId="7F69B6C8">
      <w:pPr>
        <w:keepNext w:val="0"/>
        <w:keepLines w:val="0"/>
        <w:pageBreakBefore w:val="0"/>
        <w:widowControl w:val="0"/>
        <w:kinsoku/>
        <w:wordWrap/>
        <w:overflowPunct/>
        <w:topLinePunct/>
        <w:autoSpaceDE w:val="0"/>
        <w:autoSpaceDN/>
        <w:bidi w:val="0"/>
        <w:adjustRightInd w:val="0"/>
        <w:snapToGrid w:val="0"/>
        <w:spacing w:before="101" w:line="226" w:lineRule="auto"/>
        <w:ind w:left="675"/>
        <w:textAlignment w:val="baseline"/>
        <w:rPr>
          <w:rFonts w:ascii="黑体" w:hAnsi="黑体" w:eastAsia="黑体" w:cs="黑体"/>
          <w:spacing w:val="0"/>
          <w:sz w:val="31"/>
          <w:szCs w:val="31"/>
        </w:rPr>
      </w:pPr>
      <w:r>
        <w:rPr>
          <w:rFonts w:ascii="黑体" w:hAnsi="黑体" w:eastAsia="黑体" w:cs="黑体"/>
          <w:spacing w:val="0"/>
          <w:sz w:val="31"/>
          <w:szCs w:val="31"/>
        </w:rPr>
        <w:t>五、一般公共预算财政拨款支出决算情况说明</w:t>
      </w:r>
    </w:p>
    <w:p w14:paraId="2E00082D">
      <w:pPr>
        <w:keepNext w:val="0"/>
        <w:keepLines w:val="0"/>
        <w:pageBreakBefore w:val="0"/>
        <w:widowControl w:val="0"/>
        <w:kinsoku/>
        <w:wordWrap/>
        <w:overflowPunct/>
        <w:topLinePunct/>
        <w:autoSpaceDE w:val="0"/>
        <w:autoSpaceDN/>
        <w:bidi w:val="0"/>
        <w:adjustRightInd w:val="0"/>
        <w:snapToGrid w:val="0"/>
        <w:spacing w:before="138" w:line="225" w:lineRule="auto"/>
        <w:ind w:left="659"/>
        <w:textAlignment w:val="baseline"/>
        <w:rPr>
          <w:rFonts w:ascii="楷体" w:hAnsi="楷体" w:eastAsia="楷体" w:cs="楷体"/>
          <w:spacing w:val="0"/>
          <w:sz w:val="31"/>
          <w:szCs w:val="31"/>
        </w:rPr>
      </w:pPr>
      <w:r>
        <w:rPr>
          <w:rFonts w:ascii="楷体" w:hAnsi="楷体" w:eastAsia="楷体" w:cs="楷体"/>
          <w:spacing w:val="0"/>
          <w:sz w:val="31"/>
          <w:szCs w:val="31"/>
        </w:rPr>
        <w:t>（一）一</w:t>
      </w:r>
      <w:r>
        <w:rPr>
          <w:rFonts w:ascii="宋体" w:hAnsi="宋体" w:eastAsia="宋体" w:cs="宋体"/>
          <w:spacing w:val="0"/>
          <w:sz w:val="31"/>
          <w:szCs w:val="31"/>
        </w:rPr>
        <w:t>般</w:t>
      </w:r>
      <w:r>
        <w:rPr>
          <w:rFonts w:ascii="楷体" w:hAnsi="楷体" w:eastAsia="楷体" w:cs="楷体"/>
          <w:spacing w:val="0"/>
          <w:sz w:val="31"/>
          <w:szCs w:val="31"/>
        </w:rPr>
        <w:t>公</w:t>
      </w:r>
      <w:r>
        <w:rPr>
          <w:rFonts w:ascii="宋体" w:hAnsi="宋体" w:eastAsia="宋体" w:cs="宋体"/>
          <w:spacing w:val="0"/>
          <w:sz w:val="31"/>
          <w:szCs w:val="31"/>
        </w:rPr>
        <w:t>共</w:t>
      </w:r>
      <w:r>
        <w:rPr>
          <w:rFonts w:ascii="楷体" w:hAnsi="楷体" w:eastAsia="楷体" w:cs="楷体"/>
          <w:spacing w:val="0"/>
          <w:sz w:val="31"/>
          <w:szCs w:val="31"/>
        </w:rPr>
        <w:t>预算财政拨款支出决算总体情况。</w:t>
      </w:r>
    </w:p>
    <w:p w14:paraId="3F1D8E0F">
      <w:pPr>
        <w:pStyle w:val="2"/>
        <w:keepNext w:val="0"/>
        <w:keepLines w:val="0"/>
        <w:pageBreakBefore w:val="0"/>
        <w:widowControl w:val="0"/>
        <w:kinsoku/>
        <w:wordWrap/>
        <w:overflowPunct/>
        <w:topLinePunct/>
        <w:autoSpaceDE w:val="0"/>
        <w:autoSpaceDN/>
        <w:bidi w:val="0"/>
        <w:adjustRightInd w:val="0"/>
        <w:snapToGrid w:val="0"/>
        <w:spacing w:before="134" w:line="304" w:lineRule="auto"/>
        <w:ind w:left="20" w:right="81" w:firstLine="640"/>
        <w:jc w:val="both"/>
        <w:textAlignment w:val="baseline"/>
        <w:rPr>
          <w:rFonts w:hint="eastAsia" w:ascii="仿宋" w:hAnsi="仿宋" w:eastAsia="仿宋" w:cs="仿宋"/>
          <w:b w:val="0"/>
          <w:bCs w:val="0"/>
          <w:color w:val="auto"/>
          <w:spacing w:val="0"/>
          <w:sz w:val="32"/>
          <w:szCs w:val="32"/>
        </w:rPr>
      </w:pPr>
      <w:r>
        <w:rPr>
          <w:rFonts w:hint="eastAsia" w:ascii="仿宋" w:hAnsi="仿宋" w:eastAsia="仿宋" w:cs="仿宋"/>
          <w:b w:val="0"/>
          <w:bCs w:val="0"/>
          <w:spacing w:val="0"/>
          <w:sz w:val="32"/>
          <w:szCs w:val="32"/>
        </w:rPr>
        <w:t>202</w:t>
      </w:r>
      <w:r>
        <w:rPr>
          <w:rFonts w:hint="eastAsia" w:ascii="仿宋" w:hAnsi="仿宋" w:eastAsia="仿宋" w:cs="仿宋"/>
          <w:b w:val="0"/>
          <w:bCs w:val="0"/>
          <w:spacing w:val="0"/>
          <w:sz w:val="32"/>
          <w:szCs w:val="32"/>
          <w:lang w:val="en-US" w:eastAsia="zh-CN"/>
        </w:rPr>
        <w:t>3</w:t>
      </w:r>
      <w:r>
        <w:rPr>
          <w:rFonts w:hint="eastAsia" w:ascii="仿宋" w:hAnsi="仿宋" w:eastAsia="仿宋" w:cs="仿宋"/>
          <w:b w:val="0"/>
          <w:bCs w:val="0"/>
          <w:spacing w:val="0"/>
          <w:sz w:val="32"/>
          <w:szCs w:val="32"/>
        </w:rPr>
        <w:t>年度一般公共预算财政拨款支出</w:t>
      </w:r>
      <w:r>
        <w:rPr>
          <w:rFonts w:hint="eastAsia" w:cs="仿宋"/>
          <w:b w:val="0"/>
          <w:bCs w:val="0"/>
          <w:color w:val="auto"/>
          <w:spacing w:val="0"/>
          <w:sz w:val="32"/>
          <w:szCs w:val="32"/>
          <w:lang w:val="en-US" w:eastAsia="zh-CN"/>
        </w:rPr>
        <w:t>1710.99</w:t>
      </w:r>
      <w:r>
        <w:rPr>
          <w:rFonts w:hint="eastAsia" w:ascii="仿宋" w:hAnsi="仿宋" w:eastAsia="仿宋" w:cs="仿宋"/>
          <w:b w:val="0"/>
          <w:bCs w:val="0"/>
          <w:color w:val="auto"/>
          <w:spacing w:val="0"/>
          <w:sz w:val="32"/>
          <w:szCs w:val="32"/>
        </w:rPr>
        <w:t>万元，占本 年支出合计的</w:t>
      </w:r>
      <w:r>
        <w:rPr>
          <w:rFonts w:hint="eastAsia" w:cs="仿宋"/>
          <w:b w:val="0"/>
          <w:bCs w:val="0"/>
          <w:color w:val="auto"/>
          <w:spacing w:val="0"/>
          <w:sz w:val="32"/>
          <w:szCs w:val="32"/>
          <w:lang w:val="en-US" w:eastAsia="zh-CN"/>
        </w:rPr>
        <w:t>85.81</w:t>
      </w:r>
      <w:r>
        <w:rPr>
          <w:rFonts w:hint="eastAsia" w:ascii="仿宋" w:hAnsi="仿宋" w:eastAsia="仿宋" w:cs="仿宋"/>
          <w:b w:val="0"/>
          <w:bCs w:val="0"/>
          <w:color w:val="auto"/>
          <w:spacing w:val="0"/>
          <w:sz w:val="32"/>
          <w:szCs w:val="32"/>
        </w:rPr>
        <w:t>%。与202</w:t>
      </w:r>
      <w:r>
        <w:rPr>
          <w:rFonts w:hint="eastAsia" w:cs="仿宋"/>
          <w:b w:val="0"/>
          <w:bCs w:val="0"/>
          <w:color w:val="auto"/>
          <w:spacing w:val="0"/>
          <w:sz w:val="32"/>
          <w:szCs w:val="32"/>
          <w:lang w:val="en-US" w:eastAsia="zh-CN"/>
        </w:rPr>
        <w:t>2</w:t>
      </w:r>
      <w:r>
        <w:rPr>
          <w:rFonts w:hint="eastAsia" w:ascii="仿宋" w:hAnsi="仿宋" w:eastAsia="仿宋" w:cs="仿宋"/>
          <w:b w:val="0"/>
          <w:bCs w:val="0"/>
          <w:color w:val="auto"/>
          <w:spacing w:val="0"/>
          <w:sz w:val="32"/>
          <w:szCs w:val="32"/>
        </w:rPr>
        <w:t>年度相比，一般公共预算财政拨款支出</w:t>
      </w:r>
      <w:r>
        <w:rPr>
          <w:rFonts w:hint="eastAsia" w:cs="仿宋"/>
          <w:b w:val="0"/>
          <w:bCs w:val="0"/>
          <w:color w:val="auto"/>
          <w:spacing w:val="0"/>
          <w:sz w:val="32"/>
          <w:szCs w:val="32"/>
          <w:lang w:eastAsia="zh-CN"/>
        </w:rPr>
        <w:t>增加</w:t>
      </w:r>
      <w:r>
        <w:rPr>
          <w:rFonts w:hint="eastAsia" w:cs="仿宋"/>
          <w:color w:val="auto"/>
          <w:spacing w:val="0"/>
          <w:sz w:val="32"/>
          <w:szCs w:val="32"/>
          <w:lang w:val="en-US" w:eastAsia="zh-CN"/>
        </w:rPr>
        <w:t>897.23</w:t>
      </w:r>
      <w:r>
        <w:rPr>
          <w:rFonts w:hint="eastAsia" w:ascii="仿宋" w:hAnsi="仿宋" w:eastAsia="仿宋" w:cs="仿宋"/>
          <w:color w:val="auto"/>
          <w:spacing w:val="0"/>
          <w:sz w:val="32"/>
          <w:szCs w:val="32"/>
        </w:rPr>
        <w:t>万元。增加</w:t>
      </w:r>
      <w:r>
        <w:rPr>
          <w:rFonts w:hint="eastAsia" w:ascii="仿宋" w:hAnsi="仿宋" w:eastAsia="仿宋" w:cs="仿宋"/>
          <w:b w:val="0"/>
          <w:bCs w:val="0"/>
          <w:color w:val="auto"/>
          <w:spacing w:val="0"/>
          <w:sz w:val="32"/>
          <w:szCs w:val="32"/>
        </w:rPr>
        <w:t>主要原因是202</w:t>
      </w:r>
      <w:r>
        <w:rPr>
          <w:rFonts w:hint="eastAsia" w:ascii="仿宋" w:hAnsi="仿宋" w:eastAsia="仿宋" w:cs="仿宋"/>
          <w:b w:val="0"/>
          <w:bCs w:val="0"/>
          <w:color w:val="auto"/>
          <w:spacing w:val="0"/>
          <w:sz w:val="32"/>
          <w:szCs w:val="32"/>
          <w:lang w:val="en-US" w:eastAsia="zh-CN"/>
        </w:rPr>
        <w:t>2</w:t>
      </w:r>
      <w:r>
        <w:rPr>
          <w:rFonts w:hint="eastAsia" w:ascii="仿宋" w:hAnsi="仿宋" w:eastAsia="仿宋" w:cs="仿宋"/>
          <w:b w:val="0"/>
          <w:bCs w:val="0"/>
          <w:color w:val="auto"/>
          <w:spacing w:val="0"/>
          <w:sz w:val="32"/>
          <w:szCs w:val="32"/>
        </w:rPr>
        <w:t>年部分项目存在跨年支付，于 202</w:t>
      </w:r>
      <w:r>
        <w:rPr>
          <w:rFonts w:hint="eastAsia" w:ascii="仿宋" w:hAnsi="仿宋" w:eastAsia="仿宋" w:cs="仿宋"/>
          <w:b w:val="0"/>
          <w:bCs w:val="0"/>
          <w:color w:val="auto"/>
          <w:spacing w:val="0"/>
          <w:sz w:val="32"/>
          <w:szCs w:val="32"/>
          <w:lang w:val="en-US" w:eastAsia="zh-CN"/>
        </w:rPr>
        <w:t>3</w:t>
      </w:r>
      <w:r>
        <w:rPr>
          <w:rFonts w:hint="eastAsia" w:ascii="仿宋" w:hAnsi="仿宋" w:eastAsia="仿宋" w:cs="仿宋"/>
          <w:b w:val="0"/>
          <w:bCs w:val="0"/>
          <w:color w:val="auto"/>
          <w:spacing w:val="0"/>
          <w:sz w:val="32"/>
          <w:szCs w:val="32"/>
        </w:rPr>
        <w:t>年年初支付，</w:t>
      </w:r>
      <w:r>
        <w:rPr>
          <w:rFonts w:hint="eastAsia" w:ascii="仿宋" w:hAnsi="仿宋" w:eastAsia="仿宋" w:cs="仿宋"/>
          <w:b w:val="0"/>
          <w:bCs w:val="0"/>
          <w:color w:val="auto"/>
          <w:spacing w:val="0"/>
          <w:sz w:val="32"/>
          <w:szCs w:val="32"/>
          <w:lang w:val="en-US" w:eastAsia="zh-CN"/>
        </w:rPr>
        <w:t>2023年</w:t>
      </w:r>
      <w:r>
        <w:rPr>
          <w:rFonts w:hint="eastAsia" w:ascii="仿宋" w:hAnsi="仿宋" w:eastAsia="仿宋" w:cs="仿宋"/>
          <w:b w:val="0"/>
          <w:bCs w:val="0"/>
          <w:color w:val="auto"/>
          <w:spacing w:val="0"/>
          <w:sz w:val="32"/>
          <w:szCs w:val="32"/>
          <w:lang w:eastAsia="zh-CN"/>
        </w:rPr>
        <w:t>残疾人医保全额代缴。</w:t>
      </w:r>
    </w:p>
    <w:p w14:paraId="36C05A84">
      <w:pPr>
        <w:keepNext w:val="0"/>
        <w:keepLines w:val="0"/>
        <w:pageBreakBefore w:val="0"/>
        <w:widowControl w:val="0"/>
        <w:kinsoku/>
        <w:wordWrap/>
        <w:overflowPunct/>
        <w:topLinePunct/>
        <w:autoSpaceDE w:val="0"/>
        <w:autoSpaceDN/>
        <w:bidi w:val="0"/>
        <w:adjustRightInd w:val="0"/>
        <w:snapToGrid w:val="0"/>
        <w:spacing w:before="141" w:line="225" w:lineRule="auto"/>
        <w:ind w:left="0" w:leftChars="0" w:firstLine="0" w:firstLineChars="0"/>
        <w:textAlignment w:val="baseline"/>
        <w:rPr>
          <w:rFonts w:ascii="楷体" w:hAnsi="楷体" w:eastAsia="楷体" w:cs="楷体"/>
          <w:color w:val="auto"/>
          <w:spacing w:val="0"/>
          <w:sz w:val="31"/>
          <w:szCs w:val="31"/>
        </w:rPr>
      </w:pPr>
      <w:r>
        <w:rPr>
          <w:rFonts w:hint="eastAsia" w:ascii="方正楷体_GBK" w:hAnsi="方正楷体_GBK" w:eastAsia="方正楷体_GBK" w:cs="方正楷体_GBK"/>
          <w:color w:val="auto"/>
          <w:spacing w:val="0"/>
          <w:sz w:val="31"/>
          <w:szCs w:val="31"/>
        </w:rPr>
        <w:t>（ 二）一般公共预算财政拨款支出决算结构情况。</w:t>
      </w:r>
    </w:p>
    <w:p w14:paraId="47B869DA">
      <w:pPr>
        <w:pStyle w:val="2"/>
        <w:keepNext w:val="0"/>
        <w:keepLines w:val="0"/>
        <w:pageBreakBefore w:val="0"/>
        <w:widowControl w:val="0"/>
        <w:kinsoku/>
        <w:wordWrap/>
        <w:overflowPunct/>
        <w:topLinePunct/>
        <w:autoSpaceDE w:val="0"/>
        <w:autoSpaceDN/>
        <w:bidi w:val="0"/>
        <w:adjustRightInd w:val="0"/>
        <w:snapToGrid w:val="0"/>
        <w:spacing w:before="142" w:line="295" w:lineRule="auto"/>
        <w:ind w:left="26" w:right="83" w:firstLine="653"/>
        <w:textAlignment w:val="baseline"/>
        <w:rPr>
          <w:rFonts w:hint="eastAsia" w:ascii="仿宋" w:hAnsi="仿宋" w:eastAsia="仿宋" w:cs="仿宋"/>
          <w:spacing w:val="0"/>
          <w:sz w:val="32"/>
          <w:szCs w:val="32"/>
        </w:rPr>
      </w:pPr>
      <w:r>
        <w:rPr>
          <w:rFonts w:hint="eastAsia" w:ascii="仿宋" w:hAnsi="仿宋" w:eastAsia="仿宋" w:cs="仿宋"/>
          <w:color w:val="auto"/>
          <w:spacing w:val="0"/>
          <w:sz w:val="32"/>
          <w:szCs w:val="32"/>
        </w:rPr>
        <w:t>202</w:t>
      </w:r>
      <w:r>
        <w:rPr>
          <w:rFonts w:hint="eastAsia" w:cs="仿宋"/>
          <w:color w:val="auto"/>
          <w:spacing w:val="0"/>
          <w:sz w:val="32"/>
          <w:szCs w:val="32"/>
          <w:lang w:val="en-US" w:eastAsia="zh-CN"/>
        </w:rPr>
        <w:t>3</w:t>
      </w:r>
      <w:r>
        <w:rPr>
          <w:rFonts w:hint="eastAsia" w:ascii="仿宋" w:hAnsi="仿宋" w:eastAsia="仿宋" w:cs="仿宋"/>
          <w:color w:val="auto"/>
          <w:spacing w:val="0"/>
          <w:sz w:val="32"/>
          <w:szCs w:val="32"/>
        </w:rPr>
        <w:t>年度一般公共预算财政拨款支出</w:t>
      </w:r>
      <w:r>
        <w:rPr>
          <w:rFonts w:hint="eastAsia" w:cs="仿宋"/>
          <w:b w:val="0"/>
          <w:bCs w:val="0"/>
          <w:color w:val="auto"/>
          <w:spacing w:val="0"/>
          <w:sz w:val="32"/>
          <w:szCs w:val="32"/>
          <w:lang w:val="en-US" w:eastAsia="zh-CN"/>
        </w:rPr>
        <w:t>1710.99</w:t>
      </w:r>
      <w:r>
        <w:rPr>
          <w:rFonts w:hint="eastAsia" w:ascii="仿宋" w:hAnsi="仿宋" w:eastAsia="仿宋" w:cs="仿宋"/>
          <w:color w:val="auto"/>
          <w:spacing w:val="0"/>
          <w:sz w:val="32"/>
          <w:szCs w:val="32"/>
        </w:rPr>
        <w:t>万</w:t>
      </w:r>
      <w:r>
        <w:rPr>
          <w:rFonts w:hint="eastAsia" w:ascii="仿宋" w:hAnsi="仿宋" w:eastAsia="仿宋" w:cs="仿宋"/>
          <w:spacing w:val="0"/>
          <w:sz w:val="32"/>
          <w:szCs w:val="32"/>
        </w:rPr>
        <w:t>元，主要 用于以下方面：</w:t>
      </w:r>
    </w:p>
    <w:p w14:paraId="2F3A068F">
      <w:pPr>
        <w:pStyle w:val="2"/>
        <w:keepNext w:val="0"/>
        <w:keepLines w:val="0"/>
        <w:pageBreakBefore w:val="0"/>
        <w:widowControl w:val="0"/>
        <w:numPr>
          <w:ilvl w:val="0"/>
          <w:numId w:val="0"/>
        </w:numPr>
        <w:kinsoku/>
        <w:wordWrap/>
        <w:overflowPunct/>
        <w:topLinePunct/>
        <w:autoSpaceDE w:val="0"/>
        <w:autoSpaceDN/>
        <w:bidi w:val="0"/>
        <w:adjustRightInd w:val="0"/>
        <w:snapToGrid w:val="0"/>
        <w:spacing w:before="103" w:line="286" w:lineRule="auto"/>
        <w:ind w:left="0" w:leftChars="0" w:right="89" w:rightChars="0" w:firstLine="640" w:firstLineChars="200"/>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cs="仿宋"/>
          <w:color w:val="000000" w:themeColor="text1"/>
          <w:spacing w:val="0"/>
          <w:sz w:val="32"/>
          <w:szCs w:val="32"/>
          <w:lang w:val="en-US" w:eastAsia="zh-CN"/>
          <w14:textFill>
            <w14:solidFill>
              <w14:schemeClr w14:val="tx1"/>
            </w14:solidFill>
          </w14:textFill>
        </w:rPr>
        <w:t>1.</w:t>
      </w:r>
      <w:r>
        <w:rPr>
          <w:rFonts w:hint="eastAsia" w:ascii="仿宋" w:hAnsi="仿宋" w:eastAsia="仿宋" w:cs="仿宋"/>
          <w:color w:val="000000" w:themeColor="text1"/>
          <w:spacing w:val="0"/>
          <w:sz w:val="32"/>
          <w:szCs w:val="32"/>
          <w14:textFill>
            <w14:solidFill>
              <w14:schemeClr w14:val="tx1"/>
            </w14:solidFill>
          </w14:textFill>
        </w:rPr>
        <w:t>一般公共服务支出（类）</w:t>
      </w:r>
      <w:r>
        <w:rPr>
          <w:rFonts w:hint="eastAsia" w:cs="仿宋"/>
          <w:color w:val="000000" w:themeColor="text1"/>
          <w:spacing w:val="0"/>
          <w:sz w:val="32"/>
          <w:szCs w:val="32"/>
          <w:lang w:val="en-US" w:eastAsia="zh-CN"/>
          <w14:textFill>
            <w14:solidFill>
              <w14:schemeClr w14:val="tx1"/>
            </w14:solidFill>
          </w14:textFill>
        </w:rPr>
        <w:t>327.67</w:t>
      </w:r>
      <w:r>
        <w:rPr>
          <w:rFonts w:hint="eastAsia" w:ascii="仿宋" w:hAnsi="仿宋" w:eastAsia="仿宋" w:cs="仿宋"/>
          <w:color w:val="000000" w:themeColor="text1"/>
          <w:spacing w:val="0"/>
          <w:sz w:val="32"/>
          <w:szCs w:val="32"/>
          <w14:textFill>
            <w14:solidFill>
              <w14:schemeClr w14:val="tx1"/>
            </w14:solidFill>
          </w14:textFill>
        </w:rPr>
        <w:t>万元，占</w:t>
      </w:r>
      <w:r>
        <w:rPr>
          <w:rFonts w:hint="eastAsia" w:cs="仿宋"/>
          <w:color w:val="000000" w:themeColor="text1"/>
          <w:spacing w:val="0"/>
          <w:sz w:val="32"/>
          <w:szCs w:val="32"/>
          <w:lang w:val="en-US" w:eastAsia="zh-CN"/>
          <w14:textFill>
            <w14:solidFill>
              <w14:schemeClr w14:val="tx1"/>
            </w14:solidFill>
          </w14:textFill>
        </w:rPr>
        <w:t>19.15</w:t>
      </w:r>
      <w:r>
        <w:rPr>
          <w:rFonts w:hint="eastAsia" w:ascii="仿宋" w:hAnsi="仿宋" w:eastAsia="仿宋" w:cs="仿宋"/>
          <w:color w:val="000000" w:themeColor="text1"/>
          <w:spacing w:val="0"/>
          <w:sz w:val="32"/>
          <w:szCs w:val="32"/>
          <w14:textFill>
            <w14:solidFill>
              <w14:schemeClr w14:val="tx1"/>
            </w14:solidFill>
          </w14:textFill>
        </w:rPr>
        <w:t>%。主要是用于残联事务方面的支出。</w:t>
      </w:r>
    </w:p>
    <w:p w14:paraId="25224DEC">
      <w:pPr>
        <w:pStyle w:val="2"/>
        <w:keepNext w:val="0"/>
        <w:keepLines w:val="0"/>
        <w:pageBreakBefore w:val="0"/>
        <w:widowControl w:val="0"/>
        <w:numPr>
          <w:ilvl w:val="0"/>
          <w:numId w:val="0"/>
        </w:numPr>
        <w:kinsoku/>
        <w:wordWrap/>
        <w:overflowPunct/>
        <w:topLinePunct/>
        <w:autoSpaceDE w:val="0"/>
        <w:autoSpaceDN/>
        <w:bidi w:val="0"/>
        <w:adjustRightInd w:val="0"/>
        <w:snapToGrid w:val="0"/>
        <w:spacing w:before="103" w:line="286" w:lineRule="auto"/>
        <w:ind w:left="0" w:leftChars="0" w:right="89" w:rightChars="0" w:firstLine="640" w:firstLineChars="200"/>
        <w:textAlignment w:val="baseline"/>
        <w:rPr>
          <w:rFonts w:hint="eastAsia" w:ascii="仿宋" w:hAnsi="仿宋" w:eastAsia="仿宋" w:cs="仿宋"/>
          <w:spacing w:val="0"/>
          <w:sz w:val="32"/>
          <w:szCs w:val="32"/>
          <w:highlight w:val="none"/>
        </w:rPr>
      </w:pPr>
      <w:r>
        <w:rPr>
          <w:rFonts w:hint="eastAsia" w:cs="仿宋"/>
          <w:spacing w:val="0"/>
          <w:sz w:val="32"/>
          <w:szCs w:val="32"/>
          <w:lang w:val="en-US" w:eastAsia="zh-CN"/>
        </w:rPr>
        <w:t>2.</w:t>
      </w:r>
      <w:r>
        <w:rPr>
          <w:rFonts w:hint="eastAsia" w:cs="仿宋"/>
          <w:spacing w:val="0"/>
          <w:sz w:val="32"/>
          <w:szCs w:val="32"/>
          <w:lang w:eastAsia="zh-CN"/>
        </w:rPr>
        <w:t>教育支出（类）</w:t>
      </w:r>
      <w:r>
        <w:rPr>
          <w:rFonts w:hint="eastAsia" w:cs="仿宋"/>
          <w:spacing w:val="0"/>
          <w:sz w:val="32"/>
          <w:szCs w:val="32"/>
          <w:lang w:val="en-US" w:eastAsia="zh-CN"/>
        </w:rPr>
        <w:t>0.5万元，占0.029%</w:t>
      </w:r>
      <w:r>
        <w:rPr>
          <w:rFonts w:hint="eastAsia" w:cs="仿宋"/>
          <w:spacing w:val="0"/>
          <w:sz w:val="32"/>
          <w:szCs w:val="32"/>
          <w:highlight w:val="none"/>
          <w:lang w:val="en-US" w:eastAsia="zh-CN"/>
        </w:rPr>
        <w:t>。</w:t>
      </w:r>
      <w:r>
        <w:rPr>
          <w:rFonts w:hint="eastAsia" w:ascii="仿宋" w:hAnsi="仿宋" w:eastAsia="仿宋" w:cs="仿宋"/>
          <w:color w:val="000000" w:themeColor="text1"/>
          <w:spacing w:val="0"/>
          <w:sz w:val="32"/>
          <w:szCs w:val="32"/>
          <w:highlight w:val="none"/>
          <w14:textFill>
            <w14:solidFill>
              <w14:schemeClr w14:val="tx1"/>
            </w14:solidFill>
          </w14:textFill>
        </w:rPr>
        <w:t>主要是</w:t>
      </w:r>
      <w:r>
        <w:rPr>
          <w:rFonts w:hint="eastAsia" w:cs="仿宋"/>
          <w:color w:val="000000" w:themeColor="text1"/>
          <w:spacing w:val="0"/>
          <w:sz w:val="32"/>
          <w:szCs w:val="32"/>
          <w:highlight w:val="none"/>
          <w:lang w:eastAsia="zh-CN"/>
          <w14:textFill>
            <w14:solidFill>
              <w14:schemeClr w14:val="tx1"/>
            </w14:solidFill>
          </w14:textFill>
        </w:rPr>
        <w:t>历年争取项目资金结转，用于办公支出。</w:t>
      </w:r>
    </w:p>
    <w:p w14:paraId="18CFEA0F">
      <w:pPr>
        <w:pStyle w:val="2"/>
        <w:keepNext w:val="0"/>
        <w:keepLines w:val="0"/>
        <w:pageBreakBefore w:val="0"/>
        <w:widowControl w:val="0"/>
        <w:kinsoku/>
        <w:wordWrap/>
        <w:overflowPunct/>
        <w:topLinePunct/>
        <w:autoSpaceDE w:val="0"/>
        <w:autoSpaceDN/>
        <w:bidi w:val="0"/>
        <w:adjustRightInd w:val="0"/>
        <w:snapToGrid w:val="0"/>
        <w:spacing w:before="82" w:line="301" w:lineRule="auto"/>
        <w:ind w:left="27" w:firstLine="651"/>
        <w:jc w:val="both"/>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cs="仿宋"/>
          <w:color w:val="000000" w:themeColor="text1"/>
          <w:spacing w:val="0"/>
          <w:sz w:val="32"/>
          <w:szCs w:val="32"/>
          <w:lang w:val="en-US" w:eastAsia="zh-CN"/>
          <w14:textFill>
            <w14:solidFill>
              <w14:schemeClr w14:val="tx1"/>
            </w14:solidFill>
          </w14:textFill>
        </w:rPr>
        <w:t>3</w:t>
      </w:r>
      <w:r>
        <w:rPr>
          <w:rFonts w:hint="eastAsia" w:ascii="仿宋" w:hAnsi="仿宋" w:eastAsia="仿宋" w:cs="仿宋"/>
          <w:color w:val="000000" w:themeColor="text1"/>
          <w:spacing w:val="0"/>
          <w:sz w:val="32"/>
          <w:szCs w:val="32"/>
          <w14:textFill>
            <w14:solidFill>
              <w14:schemeClr w14:val="tx1"/>
            </w14:solidFill>
          </w14:textFill>
        </w:rPr>
        <w:t>.社会保障和就业支出（类）</w:t>
      </w:r>
      <w:r>
        <w:rPr>
          <w:rFonts w:hint="eastAsia" w:cs="仿宋"/>
          <w:color w:val="000000" w:themeColor="text1"/>
          <w:spacing w:val="0"/>
          <w:sz w:val="32"/>
          <w:szCs w:val="32"/>
          <w:lang w:val="en-US" w:eastAsia="zh-CN"/>
          <w14:textFill>
            <w14:solidFill>
              <w14:schemeClr w14:val="tx1"/>
            </w14:solidFill>
          </w14:textFill>
        </w:rPr>
        <w:t>1371.83</w:t>
      </w:r>
      <w:r>
        <w:rPr>
          <w:rFonts w:hint="eastAsia" w:ascii="仿宋" w:hAnsi="仿宋" w:eastAsia="仿宋" w:cs="仿宋"/>
          <w:color w:val="000000" w:themeColor="text1"/>
          <w:spacing w:val="0"/>
          <w:sz w:val="32"/>
          <w:szCs w:val="32"/>
          <w14:textFill>
            <w14:solidFill>
              <w14:schemeClr w14:val="tx1"/>
            </w14:solidFill>
          </w14:textFill>
        </w:rPr>
        <w:t xml:space="preserve">万元，占 </w:t>
      </w:r>
      <w:r>
        <w:rPr>
          <w:rFonts w:hint="eastAsia" w:cs="仿宋"/>
          <w:color w:val="000000" w:themeColor="text1"/>
          <w:spacing w:val="0"/>
          <w:sz w:val="32"/>
          <w:szCs w:val="32"/>
          <w:lang w:val="en-US" w:eastAsia="zh-CN"/>
          <w14:textFill>
            <w14:solidFill>
              <w14:schemeClr w14:val="tx1"/>
            </w14:solidFill>
          </w14:textFill>
        </w:rPr>
        <w:t>80.18</w:t>
      </w:r>
      <w:r>
        <w:rPr>
          <w:rFonts w:hint="eastAsia" w:ascii="仿宋" w:hAnsi="仿宋" w:eastAsia="仿宋" w:cs="仿宋"/>
          <w:color w:val="000000" w:themeColor="text1"/>
          <w:spacing w:val="0"/>
          <w:sz w:val="32"/>
          <w:szCs w:val="32"/>
          <w14:textFill>
            <w14:solidFill>
              <w14:schemeClr w14:val="tx1"/>
            </w14:solidFill>
          </w14:textFill>
        </w:rPr>
        <w:t>%。主要是用于主要用于单位向社保部门缴纳基本养老保险和职业年金及残疾人事业支出。</w:t>
      </w:r>
    </w:p>
    <w:p w14:paraId="4DBCD688">
      <w:pPr>
        <w:pStyle w:val="2"/>
        <w:keepNext w:val="0"/>
        <w:keepLines w:val="0"/>
        <w:pageBreakBefore w:val="0"/>
        <w:widowControl w:val="0"/>
        <w:kinsoku/>
        <w:wordWrap/>
        <w:overflowPunct/>
        <w:topLinePunct/>
        <w:autoSpaceDE w:val="0"/>
        <w:autoSpaceDN/>
        <w:bidi w:val="0"/>
        <w:adjustRightInd w:val="0"/>
        <w:snapToGrid w:val="0"/>
        <w:spacing w:before="39" w:line="285" w:lineRule="auto"/>
        <w:ind w:left="34" w:right="89" w:firstLine="634"/>
        <w:textAlignment w:val="baseline"/>
        <w:rPr>
          <w:rFonts w:hint="eastAsia" w:ascii="仿宋" w:hAnsi="仿宋" w:eastAsia="仿宋" w:cs="仿宋"/>
          <w:color w:val="000000" w:themeColor="text1"/>
          <w:spacing w:val="0"/>
          <w:sz w:val="32"/>
          <w:szCs w:val="32"/>
          <w14:textFill>
            <w14:solidFill>
              <w14:schemeClr w14:val="tx1"/>
            </w14:solidFill>
          </w14:textFill>
        </w:rPr>
      </w:pPr>
      <w:r>
        <w:rPr>
          <w:rFonts w:hint="eastAsia" w:cs="仿宋"/>
          <w:color w:val="000000" w:themeColor="text1"/>
          <w:spacing w:val="0"/>
          <w:sz w:val="32"/>
          <w:szCs w:val="32"/>
          <w:lang w:val="en-US" w:eastAsia="zh-CN"/>
          <w14:textFill>
            <w14:solidFill>
              <w14:schemeClr w14:val="tx1"/>
            </w14:solidFill>
          </w14:textFill>
        </w:rPr>
        <w:t>4</w:t>
      </w:r>
      <w:r>
        <w:rPr>
          <w:rFonts w:hint="eastAsia" w:ascii="仿宋" w:hAnsi="仿宋" w:eastAsia="仿宋" w:cs="仿宋"/>
          <w:color w:val="000000" w:themeColor="text1"/>
          <w:spacing w:val="0"/>
          <w:sz w:val="32"/>
          <w:szCs w:val="32"/>
          <w14:textFill>
            <w14:solidFill>
              <w14:schemeClr w14:val="tx1"/>
            </w14:solidFill>
          </w14:textFill>
        </w:rPr>
        <w:t>.卫生健康支出（类）</w:t>
      </w:r>
      <w:r>
        <w:rPr>
          <w:rFonts w:hint="eastAsia" w:cs="仿宋"/>
          <w:color w:val="000000" w:themeColor="text1"/>
          <w:spacing w:val="0"/>
          <w:sz w:val="32"/>
          <w:szCs w:val="32"/>
          <w:lang w:val="en-US" w:eastAsia="zh-CN"/>
          <w14:textFill>
            <w14:solidFill>
              <w14:schemeClr w14:val="tx1"/>
            </w14:solidFill>
          </w14:textFill>
        </w:rPr>
        <w:t>3.13</w:t>
      </w:r>
      <w:r>
        <w:rPr>
          <w:rFonts w:hint="eastAsia" w:ascii="仿宋" w:hAnsi="仿宋" w:eastAsia="仿宋" w:cs="仿宋"/>
          <w:color w:val="000000" w:themeColor="text1"/>
          <w:spacing w:val="0"/>
          <w:sz w:val="32"/>
          <w:szCs w:val="32"/>
          <w14:textFill>
            <w14:solidFill>
              <w14:schemeClr w14:val="tx1"/>
            </w14:solidFill>
          </w14:textFill>
        </w:rPr>
        <w:t>万元，占0.</w:t>
      </w:r>
      <w:r>
        <w:rPr>
          <w:rFonts w:hint="eastAsia" w:cs="仿宋"/>
          <w:color w:val="000000" w:themeColor="text1"/>
          <w:spacing w:val="0"/>
          <w:sz w:val="32"/>
          <w:szCs w:val="32"/>
          <w:lang w:val="en-US" w:eastAsia="zh-CN"/>
          <w14:textFill>
            <w14:solidFill>
              <w14:schemeClr w14:val="tx1"/>
            </w14:solidFill>
          </w14:textFill>
        </w:rPr>
        <w:t>18</w:t>
      </w:r>
      <w:r>
        <w:rPr>
          <w:rFonts w:hint="eastAsia" w:ascii="仿宋" w:hAnsi="仿宋" w:eastAsia="仿宋" w:cs="仿宋"/>
          <w:color w:val="000000" w:themeColor="text1"/>
          <w:spacing w:val="0"/>
          <w:sz w:val="32"/>
          <w:szCs w:val="32"/>
          <w14:textFill>
            <w14:solidFill>
              <w14:schemeClr w14:val="tx1"/>
            </w14:solidFill>
          </w14:textFill>
        </w:rPr>
        <w:t>%。主要用于 单位社保部门缴纳基本医疗保险等。</w:t>
      </w:r>
    </w:p>
    <w:p w14:paraId="2D66230F">
      <w:pPr>
        <w:pStyle w:val="2"/>
        <w:keepNext w:val="0"/>
        <w:keepLines w:val="0"/>
        <w:pageBreakBefore w:val="0"/>
        <w:widowControl w:val="0"/>
        <w:kinsoku/>
        <w:wordWrap/>
        <w:overflowPunct/>
        <w:topLinePunct/>
        <w:autoSpaceDE w:val="0"/>
        <w:autoSpaceDN/>
        <w:bidi w:val="0"/>
        <w:adjustRightInd w:val="0"/>
        <w:snapToGrid w:val="0"/>
        <w:spacing w:before="87" w:line="301" w:lineRule="auto"/>
        <w:ind w:left="26" w:right="89" w:firstLine="632"/>
        <w:textAlignment w:val="baseline"/>
        <w:rPr>
          <w:rFonts w:hint="eastAsia" w:ascii="方正楷体_GBK" w:hAnsi="方正楷体_GBK" w:eastAsia="方正楷体_GBK" w:cs="方正楷体_GBK"/>
          <w:snapToGrid w:val="0"/>
          <w:color w:val="000000"/>
          <w:spacing w:val="0"/>
          <w:kern w:val="0"/>
          <w:sz w:val="31"/>
          <w:szCs w:val="31"/>
          <w:lang w:val="en-US" w:eastAsia="en-US" w:bidi="ar-SA"/>
        </w:rPr>
      </w:pPr>
      <w:r>
        <w:rPr>
          <w:rFonts w:hint="eastAsia" w:cs="仿宋"/>
          <w:color w:val="000000" w:themeColor="text1"/>
          <w:spacing w:val="0"/>
          <w:sz w:val="32"/>
          <w:szCs w:val="32"/>
          <w:lang w:val="en-US" w:eastAsia="zh-CN"/>
          <w14:textFill>
            <w14:solidFill>
              <w14:schemeClr w14:val="tx1"/>
            </w14:solidFill>
          </w14:textFill>
        </w:rPr>
        <w:t>5</w:t>
      </w:r>
      <w:r>
        <w:rPr>
          <w:rFonts w:hint="eastAsia" w:ascii="仿宋" w:hAnsi="仿宋" w:eastAsia="仿宋" w:cs="仿宋"/>
          <w:color w:val="000000" w:themeColor="text1"/>
          <w:spacing w:val="0"/>
          <w:sz w:val="32"/>
          <w:szCs w:val="32"/>
          <w14:textFill>
            <w14:solidFill>
              <w14:schemeClr w14:val="tx1"/>
            </w14:solidFill>
          </w14:textFill>
        </w:rPr>
        <w:t>.住房保障支出（类）</w:t>
      </w:r>
      <w:r>
        <w:rPr>
          <w:rFonts w:hint="eastAsia" w:cs="仿宋"/>
          <w:color w:val="000000" w:themeColor="text1"/>
          <w:spacing w:val="0"/>
          <w:sz w:val="32"/>
          <w:szCs w:val="32"/>
          <w:lang w:val="en-US" w:eastAsia="zh-CN"/>
          <w14:textFill>
            <w14:solidFill>
              <w14:schemeClr w14:val="tx1"/>
            </w14:solidFill>
          </w14:textFill>
        </w:rPr>
        <w:t>7.86</w:t>
      </w:r>
      <w:r>
        <w:rPr>
          <w:rFonts w:hint="eastAsia" w:ascii="仿宋" w:hAnsi="仿宋" w:eastAsia="仿宋" w:cs="仿宋"/>
          <w:color w:val="000000" w:themeColor="text1"/>
          <w:spacing w:val="0"/>
          <w:sz w:val="32"/>
          <w:szCs w:val="32"/>
          <w14:textFill>
            <w14:solidFill>
              <w14:schemeClr w14:val="tx1"/>
            </w14:solidFill>
          </w14:textFill>
        </w:rPr>
        <w:t>万元，占总支出</w:t>
      </w:r>
      <w:r>
        <w:rPr>
          <w:rFonts w:hint="eastAsia" w:cs="仿宋"/>
          <w:color w:val="000000" w:themeColor="text1"/>
          <w:spacing w:val="0"/>
          <w:sz w:val="32"/>
          <w:szCs w:val="32"/>
          <w:lang w:val="en-US" w:eastAsia="zh-CN"/>
          <w14:textFill>
            <w14:solidFill>
              <w14:schemeClr w14:val="tx1"/>
            </w14:solidFill>
          </w14:textFill>
        </w:rPr>
        <w:t>0.46</w:t>
      </w:r>
      <w:r>
        <w:rPr>
          <w:rFonts w:hint="eastAsia" w:ascii="仿宋" w:hAnsi="仿宋" w:eastAsia="仿宋" w:cs="仿宋"/>
          <w:color w:val="000000" w:themeColor="text1"/>
          <w:spacing w:val="0"/>
          <w:sz w:val="32"/>
          <w:szCs w:val="32"/>
          <w14:textFill>
            <w14:solidFill>
              <w14:schemeClr w14:val="tx1"/>
            </w14:solidFill>
          </w14:textFill>
        </w:rPr>
        <w:t>%。主 要用于按照国家政策规定为职工缴纳住房公积金、发放提租补贴</w:t>
      </w:r>
      <w:r>
        <w:rPr>
          <w:rFonts w:hint="eastAsia" w:ascii="方正楷体_GBK" w:hAnsi="方正楷体_GBK" w:eastAsia="方正楷体_GBK" w:cs="方正楷体_GBK"/>
          <w:snapToGrid w:val="0"/>
          <w:color w:val="000000"/>
          <w:spacing w:val="0"/>
          <w:kern w:val="0"/>
          <w:sz w:val="31"/>
          <w:szCs w:val="31"/>
          <w:lang w:val="en-US" w:eastAsia="en-US" w:bidi="ar-SA"/>
        </w:rPr>
        <w:t>。</w:t>
      </w:r>
    </w:p>
    <w:p w14:paraId="7F7D0A94">
      <w:pPr>
        <w:keepNext w:val="0"/>
        <w:keepLines w:val="0"/>
        <w:pageBreakBefore w:val="0"/>
        <w:widowControl w:val="0"/>
        <w:kinsoku/>
        <w:wordWrap/>
        <w:overflowPunct/>
        <w:topLinePunct/>
        <w:autoSpaceDE w:val="0"/>
        <w:autoSpaceDN/>
        <w:bidi w:val="0"/>
        <w:adjustRightInd w:val="0"/>
        <w:snapToGrid w:val="0"/>
        <w:spacing w:before="90" w:line="223" w:lineRule="auto"/>
        <w:ind w:left="659"/>
        <w:textAlignment w:val="baseline"/>
        <w:rPr>
          <w:rFonts w:ascii="楷体" w:hAnsi="楷体" w:eastAsia="楷体" w:cs="楷体"/>
          <w:b w:val="0"/>
          <w:bCs w:val="0"/>
          <w:spacing w:val="0"/>
          <w:sz w:val="32"/>
          <w:szCs w:val="32"/>
          <w:highlight w:val="yellow"/>
        </w:rPr>
      </w:pPr>
      <w:r>
        <w:rPr>
          <w:rFonts w:hint="eastAsia" w:ascii="方正楷体_GBK" w:hAnsi="方正楷体_GBK" w:eastAsia="方正楷体_GBK" w:cs="方正楷体_GBK"/>
          <w:snapToGrid w:val="0"/>
          <w:color w:val="000000"/>
          <w:spacing w:val="0"/>
          <w:kern w:val="0"/>
          <w:sz w:val="31"/>
          <w:szCs w:val="31"/>
          <w:lang w:val="en-US" w:eastAsia="en-US" w:bidi="ar-SA"/>
        </w:rPr>
        <w:t>（ 三）财政拨款支出决算具体情况。</w:t>
      </w:r>
    </w:p>
    <w:p w14:paraId="2E7E3513">
      <w:pPr>
        <w:pStyle w:val="2"/>
        <w:keepNext w:val="0"/>
        <w:keepLines w:val="0"/>
        <w:pageBreakBefore w:val="0"/>
        <w:widowControl w:val="0"/>
        <w:kinsoku/>
        <w:wordWrap/>
        <w:overflowPunct/>
        <w:topLinePunct/>
        <w:autoSpaceDE w:val="0"/>
        <w:autoSpaceDN/>
        <w:bidi w:val="0"/>
        <w:adjustRightInd w:val="0"/>
        <w:snapToGrid w:val="0"/>
        <w:spacing w:before="146" w:line="293" w:lineRule="auto"/>
        <w:ind w:left="18" w:right="89" w:firstLine="661"/>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202</w:t>
      </w:r>
      <w:r>
        <w:rPr>
          <w:rFonts w:hint="eastAsia" w:ascii="仿宋" w:hAnsi="仿宋" w:eastAsia="仿宋" w:cs="仿宋"/>
          <w:spacing w:val="0"/>
          <w:sz w:val="32"/>
          <w:szCs w:val="32"/>
          <w:lang w:val="en-US" w:eastAsia="zh-CN"/>
        </w:rPr>
        <w:t>3</w:t>
      </w:r>
      <w:r>
        <w:rPr>
          <w:rFonts w:hint="eastAsia" w:ascii="仿宋" w:hAnsi="仿宋" w:eastAsia="仿宋" w:cs="仿宋"/>
          <w:spacing w:val="0"/>
          <w:sz w:val="32"/>
          <w:szCs w:val="32"/>
        </w:rPr>
        <w:t>年度一般公共预算财政拨款支出年初预算为</w:t>
      </w:r>
      <w:r>
        <w:rPr>
          <w:rFonts w:hint="eastAsia" w:cs="仿宋"/>
          <w:spacing w:val="0"/>
          <w:sz w:val="32"/>
          <w:szCs w:val="32"/>
          <w:lang w:val="en-US" w:eastAsia="zh-CN"/>
        </w:rPr>
        <w:t>1056.82</w:t>
      </w:r>
      <w:r>
        <w:rPr>
          <w:rFonts w:hint="eastAsia" w:ascii="仿宋" w:hAnsi="仿宋" w:eastAsia="仿宋" w:cs="仿宋"/>
          <w:spacing w:val="0"/>
          <w:sz w:val="32"/>
          <w:szCs w:val="32"/>
        </w:rPr>
        <w:t>万元，支出决算为</w:t>
      </w:r>
      <w:r>
        <w:rPr>
          <w:rFonts w:hint="eastAsia" w:cs="仿宋"/>
          <w:spacing w:val="0"/>
          <w:sz w:val="32"/>
          <w:szCs w:val="32"/>
          <w:lang w:val="en-US" w:eastAsia="zh-CN"/>
        </w:rPr>
        <w:t>1710.99</w:t>
      </w:r>
      <w:r>
        <w:rPr>
          <w:rFonts w:hint="eastAsia" w:ascii="仿宋" w:hAnsi="仿宋" w:eastAsia="仿宋" w:cs="仿宋"/>
          <w:spacing w:val="0"/>
          <w:sz w:val="32"/>
          <w:szCs w:val="32"/>
        </w:rPr>
        <w:t>万元，完成年初预算的</w:t>
      </w:r>
      <w:r>
        <w:rPr>
          <w:rFonts w:hint="eastAsia" w:cs="仿宋"/>
          <w:spacing w:val="0"/>
          <w:position w:val="2"/>
          <w:sz w:val="32"/>
          <w:szCs w:val="32"/>
          <w:lang w:val="en-US" w:eastAsia="zh-CN"/>
        </w:rPr>
        <w:t>161.9</w:t>
      </w:r>
      <w:r>
        <w:rPr>
          <w:rFonts w:hint="eastAsia" w:ascii="仿宋" w:hAnsi="仿宋" w:eastAsia="仿宋" w:cs="仿宋"/>
          <w:spacing w:val="0"/>
          <w:position w:val="2"/>
          <w:sz w:val="32"/>
          <w:szCs w:val="32"/>
        </w:rPr>
        <w:t>%。其中：</w:t>
      </w:r>
    </w:p>
    <w:p w14:paraId="3B067143">
      <w:pPr>
        <w:pStyle w:val="2"/>
        <w:keepNext w:val="0"/>
        <w:keepLines w:val="0"/>
        <w:pageBreakBefore w:val="0"/>
        <w:widowControl w:val="0"/>
        <w:kinsoku/>
        <w:wordWrap/>
        <w:overflowPunct/>
        <w:topLinePunct/>
        <w:autoSpaceDE w:val="0"/>
        <w:autoSpaceDN/>
        <w:bidi w:val="0"/>
        <w:adjustRightInd w:val="0"/>
        <w:snapToGrid w:val="0"/>
        <w:spacing w:before="146" w:line="314" w:lineRule="auto"/>
        <w:ind w:left="39" w:right="102" w:firstLine="709"/>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1.一般公共服务支出（类）其他一般公共服务支出 (款)其他一般公共服务支出(项)。年初预算数为0万元，支出决算为</w:t>
      </w:r>
      <w:r>
        <w:rPr>
          <w:rFonts w:hint="eastAsia" w:cs="仿宋"/>
          <w:spacing w:val="0"/>
          <w:sz w:val="32"/>
          <w:szCs w:val="32"/>
          <w:highlight w:val="none"/>
          <w:lang w:val="en-US" w:eastAsia="zh-CN"/>
        </w:rPr>
        <w:t>327.67</w:t>
      </w:r>
      <w:r>
        <w:rPr>
          <w:rFonts w:hint="eastAsia" w:ascii="仿宋" w:hAnsi="仿宋" w:eastAsia="仿宋" w:cs="仿宋"/>
          <w:spacing w:val="0"/>
          <w:sz w:val="32"/>
          <w:szCs w:val="32"/>
        </w:rPr>
        <w:t>万元。支出决算数大于年初预算数的主要原因：收到财政预拨年度绩效奖金、以前年度增补工资</w:t>
      </w:r>
      <w:r>
        <w:rPr>
          <w:rFonts w:hint="eastAsia" w:cs="仿宋"/>
          <w:spacing w:val="0"/>
          <w:sz w:val="32"/>
          <w:szCs w:val="32"/>
          <w:lang w:eastAsia="zh-CN"/>
        </w:rPr>
        <w:t>及部分跨年支付的康复项目资金</w:t>
      </w:r>
      <w:r>
        <w:rPr>
          <w:rFonts w:hint="eastAsia" w:ascii="仿宋" w:hAnsi="仿宋" w:eastAsia="仿宋" w:cs="仿宋"/>
          <w:spacing w:val="0"/>
          <w:sz w:val="32"/>
          <w:szCs w:val="32"/>
        </w:rPr>
        <w:t>。</w:t>
      </w:r>
    </w:p>
    <w:p w14:paraId="09DAC53D">
      <w:pPr>
        <w:pStyle w:val="2"/>
        <w:keepNext w:val="0"/>
        <w:keepLines w:val="0"/>
        <w:pageBreakBefore w:val="0"/>
        <w:widowControl w:val="0"/>
        <w:kinsoku/>
        <w:wordWrap/>
        <w:overflowPunct/>
        <w:topLinePunct/>
        <w:autoSpaceDE w:val="0"/>
        <w:autoSpaceDN/>
        <w:bidi w:val="0"/>
        <w:adjustRightInd w:val="0"/>
        <w:snapToGrid w:val="0"/>
        <w:spacing w:before="52" w:line="313" w:lineRule="auto"/>
        <w:ind w:left="33" w:right="90" w:firstLine="623"/>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2.社会保障和就业(类)行政事业养老支出(款)机关事业单位养老保险缴费支出(项)、职业年金缴费支出(项)。年初预算数为</w:t>
      </w:r>
      <w:r>
        <w:rPr>
          <w:rFonts w:hint="eastAsia" w:cs="仿宋"/>
          <w:spacing w:val="0"/>
          <w:sz w:val="32"/>
          <w:szCs w:val="32"/>
          <w:lang w:val="en-US" w:eastAsia="zh-CN"/>
        </w:rPr>
        <w:t>8.13</w:t>
      </w:r>
      <w:r>
        <w:rPr>
          <w:rFonts w:hint="eastAsia" w:ascii="仿宋" w:hAnsi="仿宋" w:eastAsia="仿宋" w:cs="仿宋"/>
          <w:spacing w:val="0"/>
          <w:sz w:val="32"/>
          <w:szCs w:val="32"/>
        </w:rPr>
        <w:t>万元，支出决算</w:t>
      </w:r>
      <w:r>
        <w:rPr>
          <w:rFonts w:hint="eastAsia" w:cs="仿宋"/>
          <w:spacing w:val="0"/>
          <w:sz w:val="32"/>
          <w:szCs w:val="32"/>
          <w:lang w:eastAsia="zh-CN"/>
        </w:rPr>
        <w:t>为</w:t>
      </w:r>
      <w:r>
        <w:rPr>
          <w:rFonts w:hint="eastAsia" w:cs="仿宋"/>
          <w:spacing w:val="0"/>
          <w:sz w:val="32"/>
          <w:szCs w:val="32"/>
          <w:lang w:val="en-US" w:eastAsia="zh-CN"/>
        </w:rPr>
        <w:t>7.23</w:t>
      </w:r>
      <w:r>
        <w:rPr>
          <w:rFonts w:hint="eastAsia" w:ascii="仿宋" w:hAnsi="仿宋" w:eastAsia="仿宋" w:cs="仿宋"/>
          <w:spacing w:val="0"/>
          <w:sz w:val="32"/>
          <w:szCs w:val="32"/>
        </w:rPr>
        <w:t>万元，完成年初预算数的</w:t>
      </w:r>
      <w:r>
        <w:rPr>
          <w:rFonts w:hint="eastAsia" w:cs="仿宋"/>
          <w:spacing w:val="0"/>
          <w:sz w:val="32"/>
          <w:szCs w:val="32"/>
          <w:lang w:val="en-US" w:eastAsia="zh-CN"/>
        </w:rPr>
        <w:t xml:space="preserve"> 88.93</w:t>
      </w:r>
      <w:r>
        <w:rPr>
          <w:rFonts w:hint="eastAsia" w:ascii="仿宋" w:hAnsi="仿宋" w:eastAsia="仿宋" w:cs="仿宋"/>
          <w:spacing w:val="0"/>
          <w:sz w:val="32"/>
          <w:szCs w:val="32"/>
        </w:rPr>
        <w:t>%。主要原因：</w:t>
      </w:r>
      <w:r>
        <w:rPr>
          <w:rFonts w:hint="eastAsia" w:cs="仿宋"/>
          <w:spacing w:val="0"/>
          <w:sz w:val="32"/>
          <w:szCs w:val="32"/>
          <w:lang w:eastAsia="zh-CN"/>
        </w:rPr>
        <w:t>养老保险存在跨年支付</w:t>
      </w:r>
      <w:r>
        <w:rPr>
          <w:rFonts w:hint="eastAsia" w:ascii="仿宋" w:hAnsi="仿宋" w:eastAsia="仿宋" w:cs="仿宋"/>
          <w:spacing w:val="0"/>
          <w:sz w:val="32"/>
          <w:szCs w:val="32"/>
        </w:rPr>
        <w:t>。</w:t>
      </w:r>
    </w:p>
    <w:p w14:paraId="1D1DBE68">
      <w:pPr>
        <w:pStyle w:val="2"/>
        <w:keepNext w:val="0"/>
        <w:keepLines w:val="0"/>
        <w:pageBreakBefore w:val="0"/>
        <w:widowControl w:val="0"/>
        <w:kinsoku/>
        <w:wordWrap/>
        <w:overflowPunct/>
        <w:topLinePunct/>
        <w:autoSpaceDE w:val="0"/>
        <w:autoSpaceDN/>
        <w:bidi w:val="0"/>
        <w:adjustRightInd w:val="0"/>
        <w:snapToGrid w:val="0"/>
        <w:spacing w:before="158" w:line="309" w:lineRule="auto"/>
        <w:ind w:right="86" w:firstLine="640" w:firstLineChars="200"/>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3.社会保障和就业(类)残疾人事业(款)行政运行(项)、一般行政管理事务(项)。年初预算数为</w:t>
      </w:r>
      <w:r>
        <w:rPr>
          <w:rFonts w:hint="eastAsia" w:cs="仿宋"/>
          <w:spacing w:val="0"/>
          <w:sz w:val="32"/>
          <w:szCs w:val="32"/>
          <w:lang w:val="en-US" w:eastAsia="zh-CN"/>
        </w:rPr>
        <w:t>45.54</w:t>
      </w:r>
      <w:r>
        <w:rPr>
          <w:rFonts w:hint="eastAsia" w:ascii="仿宋" w:hAnsi="仿宋" w:eastAsia="仿宋" w:cs="仿宋"/>
          <w:spacing w:val="0"/>
          <w:sz w:val="32"/>
          <w:szCs w:val="32"/>
        </w:rPr>
        <w:t>万元，支出决算为</w:t>
      </w:r>
      <w:r>
        <w:rPr>
          <w:rFonts w:hint="eastAsia" w:cs="仿宋"/>
          <w:spacing w:val="0"/>
          <w:sz w:val="32"/>
          <w:szCs w:val="32"/>
          <w:lang w:val="en-US" w:eastAsia="zh-CN"/>
        </w:rPr>
        <w:t>144.16</w:t>
      </w:r>
      <w:r>
        <w:rPr>
          <w:rFonts w:hint="eastAsia" w:ascii="仿宋" w:hAnsi="仿宋" w:eastAsia="仿宋" w:cs="仿宋"/>
          <w:spacing w:val="0"/>
          <w:sz w:val="32"/>
          <w:szCs w:val="32"/>
          <w:highlight w:val="none"/>
        </w:rPr>
        <w:t>万元,完成年初预算数的</w:t>
      </w:r>
      <w:r>
        <w:rPr>
          <w:rFonts w:hint="eastAsia" w:cs="仿宋"/>
          <w:spacing w:val="0"/>
          <w:sz w:val="32"/>
          <w:szCs w:val="32"/>
          <w:highlight w:val="none"/>
          <w:lang w:val="en-US" w:eastAsia="zh-CN"/>
        </w:rPr>
        <w:t>316.56</w:t>
      </w:r>
      <w:r>
        <w:rPr>
          <w:rFonts w:hint="eastAsia" w:ascii="仿宋" w:hAnsi="仿宋" w:eastAsia="仿宋" w:cs="仿宋"/>
          <w:spacing w:val="0"/>
          <w:sz w:val="32"/>
          <w:szCs w:val="32"/>
          <w:highlight w:val="none"/>
        </w:rPr>
        <w:t>%。支出决算数</w:t>
      </w:r>
      <w:r>
        <w:rPr>
          <w:rFonts w:hint="eastAsia" w:cs="仿宋"/>
          <w:spacing w:val="0"/>
          <w:sz w:val="32"/>
          <w:szCs w:val="32"/>
          <w:highlight w:val="none"/>
          <w:lang w:eastAsia="zh-CN"/>
        </w:rPr>
        <w:t>大于</w:t>
      </w:r>
      <w:r>
        <w:rPr>
          <w:rFonts w:hint="eastAsia" w:ascii="仿宋" w:hAnsi="仿宋" w:eastAsia="仿宋" w:cs="仿宋"/>
          <w:spacing w:val="0"/>
          <w:sz w:val="32"/>
          <w:szCs w:val="32"/>
          <w:highlight w:val="none"/>
        </w:rPr>
        <w:t>年</w:t>
      </w:r>
      <w:r>
        <w:rPr>
          <w:rFonts w:hint="eastAsia" w:ascii="仿宋" w:hAnsi="仿宋" w:eastAsia="仿宋" w:cs="仿宋"/>
          <w:spacing w:val="0"/>
          <w:sz w:val="32"/>
          <w:szCs w:val="32"/>
        </w:rPr>
        <w:t>初预算数主要原因：</w:t>
      </w:r>
      <w:r>
        <w:rPr>
          <w:rFonts w:hint="eastAsia" w:cs="仿宋"/>
          <w:spacing w:val="0"/>
          <w:sz w:val="32"/>
          <w:szCs w:val="32"/>
          <w:lang w:eastAsia="zh-CN"/>
        </w:rPr>
        <w:t>新增非税收入基建款拨付及补发三支一扶奖金等</w:t>
      </w:r>
      <w:r>
        <w:rPr>
          <w:rFonts w:hint="eastAsia" w:ascii="仿宋" w:hAnsi="仿宋" w:eastAsia="仿宋" w:cs="仿宋"/>
          <w:spacing w:val="0"/>
          <w:sz w:val="32"/>
          <w:szCs w:val="32"/>
        </w:rPr>
        <w:t>。</w:t>
      </w:r>
    </w:p>
    <w:p w14:paraId="0C8B0EA1">
      <w:pPr>
        <w:pStyle w:val="2"/>
        <w:keepNext w:val="0"/>
        <w:keepLines w:val="0"/>
        <w:pageBreakBefore w:val="0"/>
        <w:widowControl w:val="0"/>
        <w:kinsoku/>
        <w:wordWrap/>
        <w:overflowPunct/>
        <w:topLinePunct/>
        <w:autoSpaceDE w:val="0"/>
        <w:autoSpaceDN/>
        <w:bidi w:val="0"/>
        <w:adjustRightInd w:val="0"/>
        <w:snapToGrid w:val="0"/>
        <w:spacing w:before="54" w:line="312" w:lineRule="auto"/>
        <w:ind w:left="40" w:right="85" w:firstLine="611"/>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4.社会保障和就业(类)</w:t>
      </w:r>
      <w:r>
        <w:rPr>
          <w:rFonts w:hint="eastAsia" w:ascii="仿宋" w:hAnsi="仿宋" w:eastAsia="仿宋" w:cs="仿宋"/>
          <w:spacing w:val="0"/>
          <w:sz w:val="32"/>
          <w:szCs w:val="32"/>
          <w:highlight w:val="none"/>
        </w:rPr>
        <w:t>残疾人事业(款)残疾人康复 (项)。年初预算数为</w:t>
      </w:r>
      <w:r>
        <w:rPr>
          <w:rFonts w:hint="eastAsia" w:cs="仿宋"/>
          <w:spacing w:val="0"/>
          <w:sz w:val="32"/>
          <w:szCs w:val="32"/>
          <w:highlight w:val="none"/>
          <w:lang w:val="en-US" w:eastAsia="zh-CN"/>
        </w:rPr>
        <w:t>0</w:t>
      </w:r>
      <w:r>
        <w:rPr>
          <w:rFonts w:hint="eastAsia" w:ascii="仿宋" w:hAnsi="仿宋" w:eastAsia="仿宋" w:cs="仿宋"/>
          <w:spacing w:val="0"/>
          <w:sz w:val="32"/>
          <w:szCs w:val="32"/>
          <w:highlight w:val="none"/>
        </w:rPr>
        <w:t>万元，支出决算为</w:t>
      </w:r>
      <w:r>
        <w:rPr>
          <w:rFonts w:hint="eastAsia" w:cs="仿宋"/>
          <w:spacing w:val="0"/>
          <w:sz w:val="32"/>
          <w:szCs w:val="32"/>
          <w:highlight w:val="none"/>
          <w:lang w:val="en-US" w:eastAsia="zh-CN"/>
        </w:rPr>
        <w:t>304.41</w:t>
      </w:r>
      <w:r>
        <w:rPr>
          <w:rFonts w:hint="eastAsia" w:ascii="仿宋" w:hAnsi="仿宋" w:eastAsia="仿宋" w:cs="仿宋"/>
          <w:spacing w:val="0"/>
          <w:sz w:val="32"/>
          <w:szCs w:val="32"/>
          <w:highlight w:val="none"/>
        </w:rPr>
        <w:t>万元,</w:t>
      </w:r>
      <w:r>
        <w:rPr>
          <w:rFonts w:hint="eastAsia" w:ascii="仿宋" w:hAnsi="仿宋" w:eastAsia="仿宋" w:cs="仿宋"/>
          <w:spacing w:val="0"/>
          <w:sz w:val="32"/>
          <w:szCs w:val="32"/>
        </w:rPr>
        <w:t>主要原因：</w:t>
      </w:r>
      <w:r>
        <w:rPr>
          <w:rFonts w:hint="eastAsia" w:cs="仿宋"/>
          <w:spacing w:val="0"/>
          <w:sz w:val="32"/>
          <w:szCs w:val="32"/>
          <w:lang w:eastAsia="zh-CN"/>
        </w:rPr>
        <w:t>中央、省级残疾人康复资金未在</w:t>
      </w:r>
      <w:r>
        <w:rPr>
          <w:rFonts w:hint="eastAsia" w:cs="仿宋"/>
          <w:spacing w:val="0"/>
          <w:sz w:val="32"/>
          <w:szCs w:val="32"/>
          <w:lang w:val="en-US" w:eastAsia="zh-CN"/>
        </w:rPr>
        <w:t>2023年度预算公开表上体现</w:t>
      </w:r>
      <w:r>
        <w:rPr>
          <w:rFonts w:hint="eastAsia" w:ascii="仿宋" w:hAnsi="仿宋" w:eastAsia="仿宋" w:cs="仿宋"/>
          <w:spacing w:val="0"/>
          <w:sz w:val="32"/>
          <w:szCs w:val="32"/>
        </w:rPr>
        <w:t>。</w:t>
      </w:r>
    </w:p>
    <w:p w14:paraId="423DE6CE">
      <w:pPr>
        <w:pStyle w:val="2"/>
        <w:keepNext w:val="0"/>
        <w:keepLines w:val="0"/>
        <w:pageBreakBefore w:val="0"/>
        <w:widowControl w:val="0"/>
        <w:kinsoku/>
        <w:wordWrap/>
        <w:overflowPunct/>
        <w:topLinePunct/>
        <w:autoSpaceDE w:val="0"/>
        <w:autoSpaceDN/>
        <w:bidi w:val="0"/>
        <w:adjustRightInd w:val="0"/>
        <w:snapToGrid w:val="0"/>
        <w:spacing w:before="52" w:line="312" w:lineRule="auto"/>
        <w:ind w:left="40" w:right="85" w:firstLine="619"/>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5.社会保障和就业 (类)残疾人事业 (款)残疾人就业 (项)。</w:t>
      </w:r>
      <w:r>
        <w:rPr>
          <w:rFonts w:hint="eastAsia" w:cs="仿宋"/>
          <w:spacing w:val="0"/>
          <w:sz w:val="32"/>
          <w:szCs w:val="32"/>
          <w:lang w:eastAsia="zh-CN"/>
        </w:rPr>
        <w:t>于</w:t>
      </w:r>
      <w:r>
        <w:rPr>
          <w:rFonts w:hint="eastAsia" w:ascii="仿宋" w:hAnsi="仿宋" w:eastAsia="仿宋" w:cs="仿宋"/>
          <w:spacing w:val="0"/>
          <w:sz w:val="32"/>
          <w:szCs w:val="32"/>
        </w:rPr>
        <w:t>年初预算数为</w:t>
      </w:r>
      <w:r>
        <w:rPr>
          <w:rFonts w:hint="eastAsia" w:cs="仿宋"/>
          <w:spacing w:val="0"/>
          <w:sz w:val="32"/>
          <w:szCs w:val="32"/>
          <w:lang w:val="en-US" w:eastAsia="zh-CN"/>
        </w:rPr>
        <w:t>0</w:t>
      </w:r>
      <w:r>
        <w:rPr>
          <w:rFonts w:hint="eastAsia" w:ascii="仿宋" w:hAnsi="仿宋" w:eastAsia="仿宋" w:cs="仿宋"/>
          <w:spacing w:val="0"/>
          <w:sz w:val="32"/>
          <w:szCs w:val="32"/>
        </w:rPr>
        <w:t>万元，</w:t>
      </w:r>
      <w:r>
        <w:rPr>
          <w:rFonts w:hint="eastAsia" w:ascii="仿宋" w:hAnsi="仿宋" w:eastAsia="仿宋" w:cs="仿宋"/>
          <w:spacing w:val="0"/>
          <w:sz w:val="32"/>
          <w:szCs w:val="32"/>
          <w:highlight w:val="none"/>
        </w:rPr>
        <w:t>支出决算为</w:t>
      </w:r>
      <w:r>
        <w:rPr>
          <w:rFonts w:hint="eastAsia" w:cs="仿宋"/>
          <w:spacing w:val="0"/>
          <w:sz w:val="32"/>
          <w:szCs w:val="32"/>
          <w:highlight w:val="none"/>
          <w:lang w:val="en-US" w:eastAsia="zh-CN"/>
        </w:rPr>
        <w:t>239.38</w:t>
      </w:r>
      <w:r>
        <w:rPr>
          <w:rFonts w:hint="eastAsia" w:ascii="仿宋" w:hAnsi="仿宋" w:eastAsia="仿宋" w:cs="仿宋"/>
          <w:spacing w:val="0"/>
          <w:sz w:val="32"/>
          <w:szCs w:val="32"/>
          <w:highlight w:val="none"/>
        </w:rPr>
        <w:t>万元</w:t>
      </w:r>
      <w:r>
        <w:rPr>
          <w:rFonts w:hint="eastAsia" w:cs="仿宋"/>
          <w:spacing w:val="0"/>
          <w:sz w:val="32"/>
          <w:szCs w:val="32"/>
          <w:highlight w:val="none"/>
          <w:lang w:eastAsia="zh-CN"/>
        </w:rPr>
        <w:t>，</w:t>
      </w:r>
      <w:r>
        <w:rPr>
          <w:rFonts w:hint="eastAsia" w:ascii="仿宋" w:hAnsi="仿宋" w:eastAsia="仿宋" w:cs="仿宋"/>
          <w:spacing w:val="0"/>
          <w:sz w:val="32"/>
          <w:szCs w:val="32"/>
        </w:rPr>
        <w:t>主要原因：</w:t>
      </w:r>
      <w:r>
        <w:rPr>
          <w:rFonts w:hint="eastAsia" w:cs="仿宋"/>
          <w:spacing w:val="0"/>
          <w:sz w:val="32"/>
          <w:szCs w:val="32"/>
          <w:lang w:eastAsia="zh-CN"/>
        </w:rPr>
        <w:t>中央、省级残疾人康复资金未在</w:t>
      </w:r>
      <w:r>
        <w:rPr>
          <w:rFonts w:hint="eastAsia" w:cs="仿宋"/>
          <w:spacing w:val="0"/>
          <w:sz w:val="32"/>
          <w:szCs w:val="32"/>
          <w:lang w:val="en-US" w:eastAsia="zh-CN"/>
        </w:rPr>
        <w:t>2023年度预算公开表上体现</w:t>
      </w:r>
      <w:r>
        <w:rPr>
          <w:rFonts w:hint="eastAsia" w:ascii="仿宋" w:hAnsi="仿宋" w:eastAsia="仿宋" w:cs="仿宋"/>
          <w:spacing w:val="0"/>
          <w:sz w:val="32"/>
          <w:szCs w:val="32"/>
        </w:rPr>
        <w:t>。</w:t>
      </w:r>
    </w:p>
    <w:p w14:paraId="34D0847E">
      <w:pPr>
        <w:pStyle w:val="2"/>
        <w:keepNext w:val="0"/>
        <w:keepLines w:val="0"/>
        <w:pageBreakBefore w:val="0"/>
        <w:widowControl w:val="0"/>
        <w:kinsoku/>
        <w:wordWrap/>
        <w:overflowPunct/>
        <w:topLinePunct/>
        <w:autoSpaceDE w:val="0"/>
        <w:autoSpaceDN/>
        <w:bidi w:val="0"/>
        <w:adjustRightInd w:val="0"/>
        <w:snapToGrid w:val="0"/>
        <w:spacing w:before="49" w:line="312" w:lineRule="auto"/>
        <w:ind w:left="34" w:right="86" w:firstLine="621"/>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6.社会保障和就业(类)残疾人事业(款)其他残疾人事业支出(项)。年初预算数为</w:t>
      </w:r>
      <w:r>
        <w:rPr>
          <w:rFonts w:hint="eastAsia" w:cs="仿宋"/>
          <w:spacing w:val="0"/>
          <w:sz w:val="32"/>
          <w:szCs w:val="32"/>
          <w:lang w:val="en-US" w:eastAsia="zh-CN"/>
        </w:rPr>
        <w:t>201.6</w:t>
      </w:r>
      <w:r>
        <w:rPr>
          <w:rFonts w:hint="eastAsia" w:ascii="仿宋" w:hAnsi="仿宋" w:eastAsia="仿宋" w:cs="仿宋"/>
          <w:spacing w:val="0"/>
          <w:sz w:val="32"/>
          <w:szCs w:val="32"/>
        </w:rPr>
        <w:t>万元，支出决算为</w:t>
      </w:r>
      <w:r>
        <w:rPr>
          <w:rFonts w:hint="eastAsia" w:ascii="仿宋" w:hAnsi="仿宋" w:eastAsia="仿宋" w:cs="仿宋"/>
          <w:spacing w:val="0"/>
          <w:sz w:val="32"/>
          <w:szCs w:val="32"/>
          <w:lang w:val="en-US" w:eastAsia="zh-CN"/>
        </w:rPr>
        <w:t>673.85</w:t>
      </w:r>
      <w:r>
        <w:rPr>
          <w:rFonts w:hint="eastAsia" w:ascii="仿宋" w:hAnsi="仿宋" w:eastAsia="仿宋" w:cs="仿宋"/>
          <w:spacing w:val="0"/>
          <w:sz w:val="32"/>
          <w:szCs w:val="32"/>
        </w:rPr>
        <w:t>万元，完成年初预算数的</w:t>
      </w:r>
      <w:r>
        <w:rPr>
          <w:rFonts w:hint="eastAsia" w:ascii="仿宋" w:hAnsi="仿宋" w:eastAsia="仿宋" w:cs="仿宋"/>
          <w:spacing w:val="0"/>
          <w:sz w:val="32"/>
          <w:szCs w:val="32"/>
          <w:lang w:val="en-US" w:eastAsia="zh-CN"/>
        </w:rPr>
        <w:t>334.25</w:t>
      </w:r>
      <w:r>
        <w:rPr>
          <w:rFonts w:hint="eastAsia" w:ascii="仿宋" w:hAnsi="仿宋" w:eastAsia="仿宋" w:cs="仿宋"/>
          <w:spacing w:val="0"/>
          <w:sz w:val="32"/>
          <w:szCs w:val="32"/>
        </w:rPr>
        <w:t>%,支出决算数大于年初预算数 主要原因：中央省级其他残疾人事业项目支出增加</w:t>
      </w:r>
      <w:r>
        <w:rPr>
          <w:rFonts w:hint="eastAsia" w:cs="仿宋"/>
          <w:spacing w:val="0"/>
          <w:sz w:val="32"/>
          <w:szCs w:val="32"/>
          <w:lang w:eastAsia="zh-CN"/>
        </w:rPr>
        <w:t>和</w:t>
      </w:r>
      <w:r>
        <w:rPr>
          <w:rFonts w:hint="eastAsia" w:ascii="仿宋" w:hAnsi="仿宋" w:eastAsia="仿宋" w:cs="仿宋"/>
          <w:b w:val="0"/>
          <w:bCs w:val="0"/>
          <w:color w:val="auto"/>
          <w:spacing w:val="0"/>
          <w:sz w:val="32"/>
          <w:szCs w:val="32"/>
          <w:lang w:eastAsia="zh-CN"/>
        </w:rPr>
        <w:t>残疾人医保全额代缴</w:t>
      </w:r>
      <w:r>
        <w:rPr>
          <w:rFonts w:hint="eastAsia" w:ascii="仿宋" w:hAnsi="仿宋" w:eastAsia="仿宋" w:cs="仿宋"/>
          <w:spacing w:val="0"/>
          <w:sz w:val="32"/>
          <w:szCs w:val="32"/>
        </w:rPr>
        <w:t>。</w:t>
      </w:r>
    </w:p>
    <w:p w14:paraId="055BCF6D">
      <w:pPr>
        <w:pStyle w:val="2"/>
        <w:keepNext w:val="0"/>
        <w:keepLines w:val="0"/>
        <w:pageBreakBefore w:val="0"/>
        <w:widowControl w:val="0"/>
        <w:kinsoku/>
        <w:wordWrap/>
        <w:overflowPunct/>
        <w:topLinePunct/>
        <w:autoSpaceDE w:val="0"/>
        <w:autoSpaceDN/>
        <w:bidi w:val="0"/>
        <w:adjustRightInd w:val="0"/>
        <w:snapToGrid w:val="0"/>
        <w:spacing w:before="56" w:line="312" w:lineRule="auto"/>
        <w:ind w:left="50" w:right="86" w:firstLine="610"/>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7.卫生健康支出(类)行政事业单位医疗(款)行政单位医疗、事业单位医疗(项)</w:t>
      </w:r>
      <w:r>
        <w:rPr>
          <w:rFonts w:hint="eastAsia" w:cs="仿宋"/>
          <w:spacing w:val="0"/>
          <w:sz w:val="32"/>
          <w:szCs w:val="32"/>
          <w:lang w:eastAsia="zh-CN"/>
        </w:rPr>
        <w:t>、其他行政事业单位医疗支出</w:t>
      </w:r>
      <w:r>
        <w:rPr>
          <w:rFonts w:hint="eastAsia" w:ascii="仿宋" w:hAnsi="仿宋" w:eastAsia="仿宋" w:cs="仿宋"/>
          <w:spacing w:val="0"/>
          <w:sz w:val="32"/>
          <w:szCs w:val="32"/>
        </w:rPr>
        <w:t>(项)年初预算数为</w:t>
      </w:r>
      <w:r>
        <w:rPr>
          <w:rFonts w:hint="eastAsia" w:cs="仿宋"/>
          <w:spacing w:val="0"/>
          <w:sz w:val="32"/>
          <w:szCs w:val="32"/>
          <w:lang w:val="en-US" w:eastAsia="zh-CN"/>
        </w:rPr>
        <w:t>3.13</w:t>
      </w:r>
      <w:r>
        <w:rPr>
          <w:rFonts w:hint="eastAsia" w:ascii="仿宋" w:hAnsi="仿宋" w:eastAsia="仿宋" w:cs="仿宋"/>
          <w:spacing w:val="0"/>
          <w:sz w:val="32"/>
          <w:szCs w:val="32"/>
        </w:rPr>
        <w:t>万元，支出决算为</w:t>
      </w:r>
      <w:r>
        <w:rPr>
          <w:rFonts w:hint="eastAsia" w:ascii="仿宋" w:hAnsi="仿宋" w:eastAsia="仿宋" w:cs="仿宋"/>
          <w:spacing w:val="0"/>
          <w:sz w:val="32"/>
          <w:szCs w:val="32"/>
          <w:lang w:val="en-US" w:eastAsia="zh-CN"/>
        </w:rPr>
        <w:t>3.13</w:t>
      </w:r>
      <w:r>
        <w:rPr>
          <w:rFonts w:hint="eastAsia" w:ascii="仿宋" w:hAnsi="仿宋" w:eastAsia="仿宋" w:cs="仿宋"/>
          <w:spacing w:val="0"/>
          <w:sz w:val="32"/>
          <w:szCs w:val="32"/>
        </w:rPr>
        <w:t>万元，完成年初预算数的</w:t>
      </w:r>
      <w:r>
        <w:rPr>
          <w:rFonts w:hint="eastAsia" w:ascii="仿宋" w:hAnsi="仿宋" w:eastAsia="仿宋" w:cs="仿宋"/>
          <w:spacing w:val="0"/>
          <w:sz w:val="32"/>
          <w:szCs w:val="32"/>
          <w:lang w:val="en-US" w:eastAsia="zh-CN"/>
        </w:rPr>
        <w:t>100</w:t>
      </w:r>
      <w:r>
        <w:rPr>
          <w:rFonts w:hint="eastAsia" w:ascii="仿宋" w:hAnsi="仿宋" w:eastAsia="仿宋" w:cs="仿宋"/>
          <w:spacing w:val="0"/>
          <w:sz w:val="32"/>
          <w:szCs w:val="32"/>
        </w:rPr>
        <w:t>%。</w:t>
      </w:r>
    </w:p>
    <w:p w14:paraId="1B8E93D3">
      <w:pPr>
        <w:pStyle w:val="2"/>
        <w:keepNext w:val="0"/>
        <w:keepLines w:val="0"/>
        <w:pageBreakBefore w:val="0"/>
        <w:widowControl w:val="0"/>
        <w:kinsoku/>
        <w:wordWrap/>
        <w:overflowPunct/>
        <w:topLinePunct/>
        <w:autoSpaceDE w:val="0"/>
        <w:autoSpaceDN/>
        <w:bidi w:val="0"/>
        <w:adjustRightInd w:val="0"/>
        <w:snapToGrid w:val="0"/>
        <w:spacing w:before="49" w:line="312" w:lineRule="auto"/>
        <w:ind w:left="34" w:right="86" w:firstLine="621"/>
        <w:jc w:val="both"/>
        <w:textAlignment w:val="baseline"/>
        <w:rPr>
          <w:rFonts w:hint="eastAsia" w:ascii="仿宋" w:hAnsi="仿宋" w:eastAsia="仿宋" w:cs="仿宋"/>
          <w:spacing w:val="0"/>
          <w:sz w:val="32"/>
          <w:szCs w:val="32"/>
        </w:rPr>
      </w:pPr>
      <w:r>
        <w:rPr>
          <w:rFonts w:hint="eastAsia" w:cs="仿宋"/>
          <w:spacing w:val="0"/>
          <w:sz w:val="32"/>
          <w:szCs w:val="32"/>
          <w:lang w:val="en-US" w:eastAsia="zh-CN"/>
        </w:rPr>
        <w:t>8</w:t>
      </w:r>
      <w:r>
        <w:rPr>
          <w:rFonts w:hint="eastAsia" w:ascii="仿宋" w:hAnsi="仿宋" w:eastAsia="仿宋" w:cs="仿宋"/>
          <w:spacing w:val="0"/>
          <w:sz w:val="32"/>
          <w:szCs w:val="32"/>
        </w:rPr>
        <w:t xml:space="preserve">.住房保障支出(类)住房改革支出(款)住房公积金、提租补贴(项)年初预算数为 </w:t>
      </w:r>
      <w:r>
        <w:rPr>
          <w:rFonts w:hint="eastAsia" w:cs="仿宋"/>
          <w:spacing w:val="0"/>
          <w:sz w:val="32"/>
          <w:szCs w:val="32"/>
          <w:lang w:val="en-US" w:eastAsia="zh-CN"/>
        </w:rPr>
        <w:t>7.9</w:t>
      </w:r>
      <w:r>
        <w:rPr>
          <w:rFonts w:hint="eastAsia" w:ascii="仿宋" w:hAnsi="仿宋" w:eastAsia="仿宋" w:cs="仿宋"/>
          <w:spacing w:val="0"/>
          <w:sz w:val="32"/>
          <w:szCs w:val="32"/>
        </w:rPr>
        <w:t>万元，支出决算为</w:t>
      </w:r>
      <w:r>
        <w:rPr>
          <w:rFonts w:hint="eastAsia" w:ascii="仿宋" w:hAnsi="仿宋" w:eastAsia="仿宋" w:cs="仿宋"/>
          <w:spacing w:val="0"/>
          <w:sz w:val="32"/>
          <w:szCs w:val="32"/>
          <w:lang w:val="en-US" w:eastAsia="zh-CN"/>
        </w:rPr>
        <w:t>7.86</w:t>
      </w:r>
      <w:r>
        <w:rPr>
          <w:rFonts w:hint="eastAsia" w:ascii="仿宋" w:hAnsi="仿宋" w:eastAsia="仿宋" w:cs="仿宋"/>
          <w:spacing w:val="0"/>
          <w:sz w:val="32"/>
          <w:szCs w:val="32"/>
        </w:rPr>
        <w:t>万元，</w:t>
      </w:r>
      <w:r>
        <w:rPr>
          <w:rFonts w:hint="eastAsia" w:cs="仿宋"/>
          <w:spacing w:val="0"/>
          <w:sz w:val="32"/>
          <w:szCs w:val="32"/>
          <w:lang w:eastAsia="zh-CN"/>
        </w:rPr>
        <w:t>与</w:t>
      </w:r>
      <w:r>
        <w:rPr>
          <w:rFonts w:hint="eastAsia" w:ascii="仿宋" w:hAnsi="仿宋" w:eastAsia="仿宋" w:cs="仿宋"/>
          <w:spacing w:val="0"/>
          <w:sz w:val="32"/>
          <w:szCs w:val="32"/>
        </w:rPr>
        <w:t>年初预算数</w:t>
      </w:r>
      <w:r>
        <w:rPr>
          <w:rFonts w:hint="eastAsia" w:ascii="仿宋" w:hAnsi="仿宋" w:eastAsia="仿宋" w:cs="仿宋"/>
          <w:spacing w:val="0"/>
          <w:sz w:val="32"/>
          <w:szCs w:val="32"/>
          <w:lang w:eastAsia="zh-CN"/>
        </w:rPr>
        <w:t>基本持平</w:t>
      </w:r>
      <w:r>
        <w:rPr>
          <w:rFonts w:hint="eastAsia" w:ascii="仿宋" w:hAnsi="仿宋" w:eastAsia="仿宋" w:cs="仿宋"/>
          <w:spacing w:val="0"/>
          <w:sz w:val="32"/>
          <w:szCs w:val="32"/>
        </w:rPr>
        <w:t>。支出决算数大于年初预算数的主要原因由于住房公积金缴费存在跨年支付。</w:t>
      </w:r>
    </w:p>
    <w:p w14:paraId="3E1FEF0B">
      <w:pPr>
        <w:pStyle w:val="2"/>
        <w:keepNext w:val="0"/>
        <w:keepLines w:val="0"/>
        <w:pageBreakBefore w:val="0"/>
        <w:widowControl w:val="0"/>
        <w:kinsoku/>
        <w:wordWrap/>
        <w:overflowPunct/>
        <w:topLinePunct/>
        <w:autoSpaceDE w:val="0"/>
        <w:autoSpaceDN/>
        <w:bidi w:val="0"/>
        <w:adjustRightInd w:val="0"/>
        <w:snapToGrid w:val="0"/>
        <w:spacing w:before="49" w:line="312" w:lineRule="auto"/>
        <w:ind w:left="34" w:right="86" w:firstLine="621"/>
        <w:jc w:val="both"/>
        <w:textAlignment w:val="baseline"/>
        <w:rPr>
          <w:rFonts w:hint="eastAsia" w:cs="仿宋"/>
          <w:spacing w:val="0"/>
          <w:sz w:val="32"/>
          <w:szCs w:val="32"/>
          <w:lang w:val="en-US" w:eastAsia="zh-CN"/>
        </w:rPr>
      </w:pPr>
      <w:r>
        <w:rPr>
          <w:rFonts w:hint="eastAsia" w:cs="仿宋"/>
          <w:spacing w:val="0"/>
          <w:sz w:val="32"/>
          <w:szCs w:val="32"/>
          <w:lang w:val="en-US" w:eastAsia="zh-CN"/>
        </w:rPr>
        <w:t>9.教育支出</w:t>
      </w:r>
      <w:r>
        <w:rPr>
          <w:rFonts w:hint="eastAsia" w:ascii="仿宋" w:hAnsi="仿宋" w:eastAsia="仿宋" w:cs="仿宋"/>
          <w:spacing w:val="0"/>
          <w:sz w:val="32"/>
          <w:szCs w:val="32"/>
        </w:rPr>
        <w:t>(类)</w:t>
      </w:r>
      <w:r>
        <w:rPr>
          <w:rFonts w:hint="eastAsia" w:cs="仿宋"/>
          <w:spacing w:val="0"/>
          <w:sz w:val="32"/>
          <w:szCs w:val="32"/>
          <w:lang w:eastAsia="zh-CN"/>
        </w:rPr>
        <w:t>其他教育支出</w:t>
      </w:r>
      <w:r>
        <w:rPr>
          <w:rFonts w:hint="eastAsia" w:ascii="仿宋" w:hAnsi="仿宋" w:eastAsia="仿宋" w:cs="仿宋"/>
          <w:spacing w:val="0"/>
          <w:sz w:val="32"/>
          <w:szCs w:val="32"/>
        </w:rPr>
        <w:t>(款)</w:t>
      </w:r>
      <w:r>
        <w:rPr>
          <w:rFonts w:hint="eastAsia" w:cs="仿宋"/>
          <w:spacing w:val="0"/>
          <w:sz w:val="32"/>
          <w:szCs w:val="32"/>
          <w:lang w:eastAsia="zh-CN"/>
        </w:rPr>
        <w:t>其他教育支出</w:t>
      </w:r>
      <w:r>
        <w:rPr>
          <w:rFonts w:hint="eastAsia" w:ascii="仿宋" w:hAnsi="仿宋" w:eastAsia="仿宋" w:cs="仿宋"/>
          <w:spacing w:val="0"/>
          <w:sz w:val="32"/>
          <w:szCs w:val="32"/>
        </w:rPr>
        <w:t>(项)</w:t>
      </w:r>
      <w:r>
        <w:rPr>
          <w:rFonts w:hint="eastAsia" w:cs="仿宋"/>
          <w:spacing w:val="0"/>
          <w:sz w:val="32"/>
          <w:szCs w:val="32"/>
          <w:lang w:eastAsia="zh-CN"/>
        </w:rPr>
        <w:t>年初预算为</w:t>
      </w:r>
      <w:r>
        <w:rPr>
          <w:rFonts w:hint="eastAsia" w:cs="仿宋"/>
          <w:spacing w:val="0"/>
          <w:sz w:val="32"/>
          <w:szCs w:val="32"/>
          <w:lang w:val="en-US" w:eastAsia="zh-CN"/>
        </w:rPr>
        <w:t>0，支出决算为0.5万元。支出决算数大于年初预算主要原因：2022年向上争取项目奖结转，用于办公费支出。</w:t>
      </w:r>
    </w:p>
    <w:p w14:paraId="6289C68A">
      <w:pPr>
        <w:pStyle w:val="2"/>
        <w:keepNext w:val="0"/>
        <w:keepLines w:val="0"/>
        <w:pageBreakBefore w:val="0"/>
        <w:widowControl w:val="0"/>
        <w:kinsoku/>
        <w:wordWrap/>
        <w:overflowPunct/>
        <w:topLinePunct/>
        <w:autoSpaceDE w:val="0"/>
        <w:autoSpaceDN/>
        <w:bidi w:val="0"/>
        <w:adjustRightInd w:val="0"/>
        <w:snapToGrid w:val="0"/>
        <w:spacing w:before="49" w:line="312" w:lineRule="auto"/>
        <w:ind w:left="34" w:right="86" w:firstLine="621"/>
        <w:jc w:val="both"/>
        <w:textAlignment w:val="baseline"/>
        <w:rPr>
          <w:rFonts w:hint="default" w:eastAsia="仿宋" w:cs="仿宋"/>
          <w:spacing w:val="0"/>
          <w:sz w:val="32"/>
          <w:szCs w:val="32"/>
          <w:lang w:val="en-US" w:eastAsia="zh-CN"/>
        </w:rPr>
      </w:pPr>
      <w:r>
        <w:rPr>
          <w:rFonts w:hint="eastAsia" w:cs="仿宋"/>
          <w:spacing w:val="0"/>
          <w:sz w:val="32"/>
          <w:szCs w:val="32"/>
          <w:lang w:val="en-US" w:eastAsia="zh-CN"/>
        </w:rPr>
        <w:t>10.社会保障和就业支出</w:t>
      </w:r>
      <w:r>
        <w:rPr>
          <w:rFonts w:hint="eastAsia" w:ascii="仿宋" w:hAnsi="仿宋" w:eastAsia="仿宋" w:cs="仿宋"/>
          <w:spacing w:val="0"/>
          <w:sz w:val="32"/>
          <w:szCs w:val="32"/>
        </w:rPr>
        <w:t>(类)</w:t>
      </w:r>
      <w:r>
        <w:rPr>
          <w:rFonts w:hint="eastAsia" w:cs="仿宋"/>
          <w:spacing w:val="0"/>
          <w:sz w:val="32"/>
          <w:szCs w:val="32"/>
          <w:lang w:val="en-US" w:eastAsia="zh-CN"/>
        </w:rPr>
        <w:t>人力资源和社会保障管理事务</w:t>
      </w:r>
      <w:r>
        <w:rPr>
          <w:rFonts w:hint="eastAsia" w:ascii="仿宋" w:hAnsi="仿宋" w:eastAsia="仿宋" w:cs="仿宋"/>
          <w:spacing w:val="0"/>
          <w:sz w:val="32"/>
          <w:szCs w:val="32"/>
        </w:rPr>
        <w:t>(款)</w:t>
      </w:r>
      <w:r>
        <w:rPr>
          <w:rFonts w:hint="eastAsia" w:cs="仿宋"/>
          <w:spacing w:val="0"/>
          <w:sz w:val="32"/>
          <w:szCs w:val="32"/>
          <w:lang w:eastAsia="zh-CN"/>
        </w:rPr>
        <w:t>其他</w:t>
      </w:r>
      <w:r>
        <w:rPr>
          <w:rFonts w:hint="eastAsia" w:cs="仿宋"/>
          <w:spacing w:val="0"/>
          <w:sz w:val="32"/>
          <w:szCs w:val="32"/>
          <w:lang w:val="en-US" w:eastAsia="zh-CN"/>
        </w:rPr>
        <w:t>人力资源和社会保障管理事务</w:t>
      </w:r>
      <w:r>
        <w:rPr>
          <w:rFonts w:hint="eastAsia" w:cs="仿宋"/>
          <w:spacing w:val="0"/>
          <w:sz w:val="32"/>
          <w:szCs w:val="32"/>
          <w:lang w:eastAsia="zh-CN"/>
        </w:rPr>
        <w:t>支出</w:t>
      </w:r>
      <w:r>
        <w:rPr>
          <w:rFonts w:hint="eastAsia" w:ascii="仿宋" w:hAnsi="仿宋" w:eastAsia="仿宋" w:cs="仿宋"/>
          <w:spacing w:val="0"/>
          <w:sz w:val="32"/>
          <w:szCs w:val="32"/>
        </w:rPr>
        <w:t>(项)</w:t>
      </w:r>
      <w:r>
        <w:rPr>
          <w:rFonts w:hint="eastAsia" w:cs="仿宋"/>
          <w:spacing w:val="0"/>
          <w:sz w:val="32"/>
          <w:szCs w:val="32"/>
          <w:lang w:eastAsia="zh-CN"/>
        </w:rPr>
        <w:t>年初数为</w:t>
      </w:r>
      <w:r>
        <w:rPr>
          <w:rFonts w:hint="eastAsia" w:cs="仿宋"/>
          <w:spacing w:val="0"/>
          <w:sz w:val="32"/>
          <w:szCs w:val="32"/>
          <w:lang w:val="en-US" w:eastAsia="zh-CN"/>
        </w:rPr>
        <w:t>0，支出决算为2.8万元，支出决算数大于年初预算主要原因：拨付三支一扶人员相关经费。</w:t>
      </w:r>
    </w:p>
    <w:p w14:paraId="0EAF773C">
      <w:pPr>
        <w:keepNext w:val="0"/>
        <w:keepLines w:val="0"/>
        <w:pageBreakBefore w:val="0"/>
        <w:widowControl w:val="0"/>
        <w:kinsoku/>
        <w:wordWrap/>
        <w:overflowPunct/>
        <w:topLinePunct/>
        <w:autoSpaceDE w:val="0"/>
        <w:autoSpaceDN/>
        <w:bidi w:val="0"/>
        <w:adjustRightInd w:val="0"/>
        <w:snapToGrid w:val="0"/>
        <w:spacing w:before="146" w:line="226" w:lineRule="auto"/>
        <w:ind w:left="677"/>
        <w:textAlignment w:val="baseline"/>
        <w:outlineLvl w:val="2"/>
        <w:rPr>
          <w:rFonts w:ascii="黑体" w:hAnsi="黑体" w:eastAsia="黑体" w:cs="黑体"/>
          <w:spacing w:val="0"/>
          <w:sz w:val="31"/>
          <w:szCs w:val="31"/>
        </w:rPr>
      </w:pPr>
      <w:r>
        <w:rPr>
          <w:rFonts w:ascii="黑体" w:hAnsi="黑体" w:eastAsia="黑体" w:cs="黑体"/>
          <w:spacing w:val="0"/>
          <w:sz w:val="31"/>
          <w:szCs w:val="31"/>
        </w:rPr>
        <w:t>六、一般公共预算财政拨款基本支出决算情况说明</w:t>
      </w:r>
    </w:p>
    <w:p w14:paraId="22D3ACF1">
      <w:pPr>
        <w:pStyle w:val="2"/>
        <w:keepNext w:val="0"/>
        <w:keepLines w:val="0"/>
        <w:pageBreakBefore w:val="0"/>
        <w:widowControl w:val="0"/>
        <w:kinsoku/>
        <w:wordWrap/>
        <w:overflowPunct/>
        <w:topLinePunct/>
        <w:autoSpaceDE w:val="0"/>
        <w:autoSpaceDN/>
        <w:bidi w:val="0"/>
        <w:adjustRightInd w:val="0"/>
        <w:snapToGrid w:val="0"/>
        <w:spacing w:before="145" w:line="305" w:lineRule="auto"/>
        <w:ind w:left="74" w:right="305" w:firstLine="582"/>
        <w:textAlignment w:val="baseline"/>
        <w:rPr>
          <w:spacing w:val="0"/>
          <w:sz w:val="32"/>
          <w:szCs w:val="32"/>
        </w:rPr>
      </w:pPr>
      <w:r>
        <w:rPr>
          <w:spacing w:val="0"/>
          <w:sz w:val="32"/>
          <w:szCs w:val="32"/>
        </w:rPr>
        <w:t>202</w:t>
      </w:r>
      <w:r>
        <w:rPr>
          <w:rFonts w:hint="eastAsia"/>
          <w:spacing w:val="0"/>
          <w:sz w:val="32"/>
          <w:szCs w:val="32"/>
          <w:lang w:val="en-US" w:eastAsia="zh-CN"/>
        </w:rPr>
        <w:t>3</w:t>
      </w:r>
      <w:r>
        <w:rPr>
          <w:spacing w:val="0"/>
          <w:sz w:val="32"/>
          <w:szCs w:val="32"/>
        </w:rPr>
        <w:t>年度一般公共预算财政拨款基本支出</w:t>
      </w:r>
      <w:r>
        <w:rPr>
          <w:rFonts w:hint="eastAsia"/>
          <w:spacing w:val="0"/>
          <w:sz w:val="32"/>
          <w:szCs w:val="32"/>
          <w:lang w:val="en-US" w:eastAsia="zh-CN"/>
        </w:rPr>
        <w:t>223.7</w:t>
      </w:r>
      <w:r>
        <w:rPr>
          <w:spacing w:val="0"/>
          <w:sz w:val="32"/>
          <w:szCs w:val="32"/>
        </w:rPr>
        <w:t>万元</w:t>
      </w:r>
      <w:r>
        <w:rPr>
          <w:rFonts w:hint="eastAsia"/>
          <w:spacing w:val="0"/>
          <w:sz w:val="32"/>
          <w:szCs w:val="32"/>
          <w:lang w:eastAsia="zh-CN"/>
        </w:rPr>
        <w:t>，</w:t>
      </w:r>
      <w:r>
        <w:rPr>
          <w:spacing w:val="0"/>
          <w:sz w:val="32"/>
          <w:szCs w:val="32"/>
        </w:rPr>
        <w:t>其中：</w:t>
      </w:r>
    </w:p>
    <w:p w14:paraId="41FE8000">
      <w:pPr>
        <w:pStyle w:val="2"/>
        <w:keepNext w:val="0"/>
        <w:keepLines w:val="0"/>
        <w:pageBreakBefore w:val="0"/>
        <w:widowControl w:val="0"/>
        <w:kinsoku/>
        <w:wordWrap/>
        <w:overflowPunct/>
        <w:topLinePunct/>
        <w:autoSpaceDE w:val="0"/>
        <w:autoSpaceDN/>
        <w:bidi w:val="0"/>
        <w:adjustRightInd w:val="0"/>
        <w:snapToGrid w:val="0"/>
        <w:spacing w:before="54" w:line="315" w:lineRule="auto"/>
        <w:ind w:left="35" w:right="204" w:firstLine="632"/>
        <w:textAlignment w:val="baseline"/>
        <w:rPr>
          <w:spacing w:val="0"/>
          <w:sz w:val="32"/>
          <w:szCs w:val="32"/>
        </w:rPr>
      </w:pPr>
      <w:r>
        <w:rPr>
          <w:spacing w:val="0"/>
          <w:sz w:val="32"/>
          <w:szCs w:val="32"/>
        </w:rPr>
        <w:t>人员经费</w:t>
      </w:r>
      <w:r>
        <w:rPr>
          <w:rFonts w:hint="eastAsia"/>
          <w:spacing w:val="0"/>
          <w:sz w:val="32"/>
          <w:szCs w:val="32"/>
          <w:lang w:val="en-US" w:eastAsia="zh-CN"/>
        </w:rPr>
        <w:t>210.5</w:t>
      </w:r>
      <w:r>
        <w:rPr>
          <w:spacing w:val="0"/>
          <w:sz w:val="32"/>
          <w:szCs w:val="32"/>
        </w:rPr>
        <w:t>万元，主要包括：基本工资、津贴补贴、奖金、伙食补助费、绩效工资、机关事业单位基本养老保险 缴费、职业年金缴费、职工基本医疗保险缴费、公务员医疗补助缴费、其他社会保障缴费、住房公积金、 医疗费、其他工资福利支出、离休费、退休费、退职(役)费、抚恤金、生活补助、救济费、医疗费补助、助学金、奖励金、个人农业生产补贴、代缴社会保险费、其他对个人和家庭的补助。</w:t>
      </w:r>
    </w:p>
    <w:p w14:paraId="0B8D6529">
      <w:pPr>
        <w:pStyle w:val="2"/>
        <w:keepNext w:val="0"/>
        <w:keepLines w:val="0"/>
        <w:pageBreakBefore w:val="0"/>
        <w:widowControl w:val="0"/>
        <w:kinsoku/>
        <w:wordWrap/>
        <w:overflowPunct/>
        <w:topLinePunct/>
        <w:autoSpaceDE w:val="0"/>
        <w:autoSpaceDN/>
        <w:bidi w:val="0"/>
        <w:adjustRightInd w:val="0"/>
        <w:snapToGrid w:val="0"/>
        <w:spacing w:before="48" w:line="316" w:lineRule="auto"/>
        <w:ind w:left="35" w:right="204" w:firstLine="633"/>
        <w:textAlignment w:val="baseline"/>
        <w:rPr>
          <w:spacing w:val="0"/>
          <w:sz w:val="32"/>
          <w:szCs w:val="32"/>
        </w:rPr>
      </w:pPr>
      <w:r>
        <w:rPr>
          <w:spacing w:val="0"/>
          <w:sz w:val="32"/>
          <w:szCs w:val="32"/>
        </w:rPr>
        <w:t>公用经费</w:t>
      </w:r>
      <w:r>
        <w:rPr>
          <w:rFonts w:hint="eastAsia"/>
          <w:spacing w:val="0"/>
          <w:sz w:val="32"/>
          <w:szCs w:val="32"/>
          <w:lang w:val="en-US" w:eastAsia="zh-CN"/>
        </w:rPr>
        <w:t>13.2</w:t>
      </w:r>
      <w:r>
        <w:rPr>
          <w:spacing w:val="0"/>
          <w:sz w:val="32"/>
          <w:szCs w:val="32"/>
        </w:rPr>
        <w:t>万元，主要包括：办公费、印刷费、咨询费、手续费、水费、电费、邮电费、取暖费、物业管理费、差旅费、因公出国(境)费用、维修(护)费、租赁费、会议费、培训费、公务接待费、专用材料费、被装购置费、专用燃料费、劳务费、委托业务费、工会经费、福利费、公务用车运行维护费、其他交通费用、税金及附加费用、其他商品和服务支出、办公设备购置、专用设备购置、信息网络及软件购置更新、公务用车购置、其他资本性支出。</w:t>
      </w:r>
    </w:p>
    <w:p w14:paraId="04820589">
      <w:pPr>
        <w:keepNext w:val="0"/>
        <w:keepLines w:val="0"/>
        <w:pageBreakBefore w:val="0"/>
        <w:widowControl w:val="0"/>
        <w:kinsoku/>
        <w:wordWrap/>
        <w:overflowPunct/>
        <w:topLinePunct/>
        <w:autoSpaceDE w:val="0"/>
        <w:autoSpaceDN/>
        <w:bidi w:val="0"/>
        <w:adjustRightInd w:val="0"/>
        <w:snapToGrid w:val="0"/>
        <w:spacing w:before="48" w:line="295" w:lineRule="auto"/>
        <w:ind w:left="31" w:right="304" w:firstLine="634"/>
        <w:textAlignment w:val="baseline"/>
        <w:rPr>
          <w:rFonts w:ascii="黑体" w:hAnsi="黑体" w:eastAsia="黑体" w:cs="黑体"/>
          <w:spacing w:val="0"/>
          <w:sz w:val="31"/>
          <w:szCs w:val="31"/>
        </w:rPr>
      </w:pPr>
      <w:r>
        <w:rPr>
          <w:rFonts w:ascii="黑体" w:hAnsi="黑体" w:eastAsia="黑体" w:cs="黑体"/>
          <w:spacing w:val="0"/>
          <w:sz w:val="31"/>
          <w:szCs w:val="31"/>
        </w:rPr>
        <w:t>七、一般公共预算财政拨款“三公”经费支出决算情况 说明</w:t>
      </w:r>
    </w:p>
    <w:p w14:paraId="02C7FFBB">
      <w:pPr>
        <w:keepNext w:val="0"/>
        <w:keepLines w:val="0"/>
        <w:pageBreakBefore w:val="0"/>
        <w:widowControl w:val="0"/>
        <w:kinsoku/>
        <w:wordWrap/>
        <w:overflowPunct/>
        <w:topLinePunct/>
        <w:autoSpaceDE w:val="0"/>
        <w:autoSpaceDN/>
        <w:bidi w:val="0"/>
        <w:adjustRightInd w:val="0"/>
        <w:snapToGrid w:val="0"/>
        <w:spacing w:before="50" w:line="222" w:lineRule="auto"/>
        <w:ind w:left="659"/>
        <w:textAlignment w:val="baseline"/>
        <w:outlineLvl w:val="3"/>
        <w:rPr>
          <w:rFonts w:ascii="楷体" w:hAnsi="楷体" w:eastAsia="楷体" w:cs="楷体"/>
          <w:spacing w:val="0"/>
          <w:sz w:val="31"/>
          <w:szCs w:val="31"/>
        </w:rPr>
      </w:pPr>
      <w:r>
        <w:rPr>
          <w:rFonts w:ascii="楷体" w:hAnsi="楷体" w:eastAsia="楷体" w:cs="楷体"/>
          <w:spacing w:val="0"/>
          <w:sz w:val="31"/>
          <w:szCs w:val="31"/>
        </w:rPr>
        <w:t>（一） “三公”经费财政拨款支出决算总体情况说明。</w:t>
      </w:r>
    </w:p>
    <w:p w14:paraId="4C95AD13">
      <w:pPr>
        <w:pStyle w:val="2"/>
        <w:keepNext w:val="0"/>
        <w:keepLines w:val="0"/>
        <w:pageBreakBefore w:val="0"/>
        <w:widowControl w:val="0"/>
        <w:kinsoku/>
        <w:wordWrap/>
        <w:overflowPunct/>
        <w:topLinePunct/>
        <w:autoSpaceDE w:val="0"/>
        <w:autoSpaceDN/>
        <w:bidi w:val="0"/>
        <w:adjustRightInd w:val="0"/>
        <w:snapToGrid w:val="0"/>
        <w:spacing w:before="159" w:line="308" w:lineRule="auto"/>
        <w:jc w:val="both"/>
        <w:textAlignment w:val="baseline"/>
        <w:rPr>
          <w:rFonts w:hint="eastAsia" w:eastAsia="仿宋"/>
          <w:spacing w:val="0"/>
          <w:sz w:val="30"/>
          <w:szCs w:val="30"/>
          <w:lang w:eastAsia="zh-CN"/>
        </w:rPr>
      </w:pPr>
      <w:r>
        <w:rPr>
          <w:spacing w:val="0"/>
          <w:sz w:val="32"/>
          <w:szCs w:val="32"/>
        </w:rPr>
        <w:t>202</w:t>
      </w:r>
      <w:r>
        <w:rPr>
          <w:rFonts w:hint="eastAsia"/>
          <w:spacing w:val="0"/>
          <w:sz w:val="32"/>
          <w:szCs w:val="32"/>
          <w:lang w:val="en-US" w:eastAsia="zh-CN"/>
        </w:rPr>
        <w:t>3</w:t>
      </w:r>
      <w:r>
        <w:rPr>
          <w:spacing w:val="0"/>
          <w:sz w:val="32"/>
          <w:szCs w:val="32"/>
        </w:rPr>
        <w:t>年度“三公”经费财政拨款支出预算为</w:t>
      </w:r>
      <w:r>
        <w:rPr>
          <w:rFonts w:hint="eastAsia"/>
          <w:spacing w:val="0"/>
          <w:sz w:val="32"/>
          <w:szCs w:val="32"/>
          <w:lang w:val="en-US" w:eastAsia="zh-CN"/>
        </w:rPr>
        <w:t>,5.5</w:t>
      </w:r>
      <w:r>
        <w:rPr>
          <w:spacing w:val="0"/>
          <w:sz w:val="32"/>
          <w:szCs w:val="32"/>
        </w:rPr>
        <w:t>万元，支出决算为</w:t>
      </w:r>
      <w:r>
        <w:rPr>
          <w:rFonts w:hint="eastAsia"/>
          <w:spacing w:val="0"/>
          <w:sz w:val="32"/>
          <w:szCs w:val="32"/>
          <w:lang w:val="en-US" w:eastAsia="zh-CN"/>
        </w:rPr>
        <w:t>2.0</w:t>
      </w:r>
      <w:r>
        <w:rPr>
          <w:spacing w:val="0"/>
          <w:sz w:val="32"/>
          <w:szCs w:val="32"/>
        </w:rPr>
        <w:t>万元，完成预算的</w:t>
      </w:r>
      <w:r>
        <w:rPr>
          <w:rFonts w:hint="eastAsia"/>
          <w:spacing w:val="0"/>
          <w:sz w:val="32"/>
          <w:szCs w:val="32"/>
          <w:lang w:val="en-US" w:eastAsia="zh-CN"/>
        </w:rPr>
        <w:t>36.36</w:t>
      </w:r>
      <w:r>
        <w:rPr>
          <w:spacing w:val="0"/>
          <w:sz w:val="32"/>
          <w:szCs w:val="32"/>
        </w:rPr>
        <w:t>%,比预算减少</w:t>
      </w:r>
      <w:r>
        <w:rPr>
          <w:rFonts w:hint="eastAsia"/>
          <w:spacing w:val="0"/>
          <w:sz w:val="32"/>
          <w:szCs w:val="32"/>
          <w:lang w:val="en-US" w:eastAsia="zh-CN"/>
        </w:rPr>
        <w:t>3.5</w:t>
      </w:r>
      <w:r>
        <w:rPr>
          <w:spacing w:val="0"/>
          <w:sz w:val="32"/>
          <w:szCs w:val="32"/>
        </w:rPr>
        <w:t>万元，主要原因是认真贯彻落实“党政机关要坚持过紧日子 ”的要求，厉行节约，从严控制“三公”经费开支。较</w:t>
      </w:r>
      <w:r>
        <w:rPr>
          <w:rFonts w:hint="eastAsia"/>
          <w:spacing w:val="0"/>
          <w:sz w:val="32"/>
          <w:szCs w:val="32"/>
          <w:lang w:val="en-US" w:eastAsia="zh-CN"/>
        </w:rPr>
        <w:t>2022</w:t>
      </w:r>
      <w:r>
        <w:rPr>
          <w:spacing w:val="0"/>
          <w:sz w:val="32"/>
          <w:szCs w:val="32"/>
        </w:rPr>
        <w:t>年</w:t>
      </w:r>
      <w:r>
        <w:rPr>
          <w:rFonts w:hint="eastAsia"/>
          <w:spacing w:val="0"/>
          <w:sz w:val="32"/>
          <w:szCs w:val="32"/>
          <w:lang w:eastAsia="zh-CN"/>
        </w:rPr>
        <w:t>减少</w:t>
      </w:r>
      <w:r>
        <w:rPr>
          <w:spacing w:val="0"/>
          <w:sz w:val="32"/>
          <w:szCs w:val="32"/>
        </w:rPr>
        <w:t>0.5</w:t>
      </w:r>
      <w:r>
        <w:rPr>
          <w:rFonts w:hint="eastAsia"/>
          <w:spacing w:val="0"/>
          <w:sz w:val="32"/>
          <w:szCs w:val="32"/>
          <w:lang w:val="en-US" w:eastAsia="zh-CN"/>
        </w:rPr>
        <w:t>5</w:t>
      </w:r>
      <w:r>
        <w:rPr>
          <w:spacing w:val="0"/>
          <w:sz w:val="32"/>
          <w:szCs w:val="32"/>
        </w:rPr>
        <w:t>万元,决算数小于预算数的主要原因：</w:t>
      </w:r>
      <w:r>
        <w:rPr>
          <w:rFonts w:hint="eastAsia"/>
          <w:spacing w:val="0"/>
          <w:sz w:val="32"/>
          <w:szCs w:val="32"/>
          <w:lang w:eastAsia="zh-CN"/>
        </w:rPr>
        <w:t>公务接待费存在跨年支付。</w:t>
      </w:r>
    </w:p>
    <w:p w14:paraId="414BAB22">
      <w:pPr>
        <w:keepNext w:val="0"/>
        <w:keepLines w:val="0"/>
        <w:pageBreakBefore w:val="0"/>
        <w:widowControl w:val="0"/>
        <w:kinsoku/>
        <w:wordWrap/>
        <w:overflowPunct/>
        <w:topLinePunct/>
        <w:autoSpaceDE w:val="0"/>
        <w:autoSpaceDN/>
        <w:bidi w:val="0"/>
        <w:adjustRightInd w:val="0"/>
        <w:snapToGrid w:val="0"/>
        <w:spacing w:before="50" w:line="222" w:lineRule="auto"/>
        <w:ind w:left="659"/>
        <w:textAlignment w:val="baseline"/>
        <w:outlineLvl w:val="3"/>
        <w:rPr>
          <w:rFonts w:ascii="楷体" w:hAnsi="楷体" w:eastAsia="楷体" w:cs="楷体"/>
          <w:spacing w:val="0"/>
          <w:sz w:val="31"/>
          <w:szCs w:val="31"/>
        </w:rPr>
      </w:pPr>
      <w:r>
        <w:rPr>
          <w:rFonts w:ascii="楷体" w:hAnsi="楷体" w:eastAsia="楷体" w:cs="楷体"/>
          <w:spacing w:val="0"/>
          <w:sz w:val="31"/>
          <w:szCs w:val="31"/>
        </w:rPr>
        <w:t>（ 二） “三公”经费财政拨款支出决算具体情况说明。</w:t>
      </w:r>
    </w:p>
    <w:p w14:paraId="50A326D8">
      <w:pPr>
        <w:pStyle w:val="2"/>
        <w:keepNext w:val="0"/>
        <w:keepLines w:val="0"/>
        <w:pageBreakBefore w:val="0"/>
        <w:widowControl w:val="0"/>
        <w:kinsoku/>
        <w:wordWrap/>
        <w:overflowPunct/>
        <w:topLinePunct/>
        <w:autoSpaceDE w:val="0"/>
        <w:autoSpaceDN/>
        <w:bidi w:val="0"/>
        <w:adjustRightInd w:val="0"/>
        <w:snapToGrid w:val="0"/>
        <w:spacing w:before="155" w:line="309" w:lineRule="auto"/>
        <w:ind w:left="62" w:right="175" w:firstLine="640"/>
        <w:textAlignment w:val="baseline"/>
        <w:rPr>
          <w:spacing w:val="0"/>
          <w:sz w:val="32"/>
          <w:szCs w:val="32"/>
        </w:rPr>
      </w:pPr>
      <w:r>
        <w:rPr>
          <w:spacing w:val="0"/>
          <w:sz w:val="32"/>
          <w:szCs w:val="32"/>
        </w:rPr>
        <w:t>1.因公出国(境)费预算为0万元，支出决算为0万元， 完成预算的0%，与预算一致,与上年决算数一致，主要原因 是本年度和上年度未安排人员出国。</w:t>
      </w:r>
    </w:p>
    <w:p w14:paraId="13EA1863">
      <w:pPr>
        <w:pStyle w:val="2"/>
        <w:keepNext w:val="0"/>
        <w:keepLines w:val="0"/>
        <w:pageBreakBefore w:val="0"/>
        <w:widowControl w:val="0"/>
        <w:kinsoku/>
        <w:wordWrap/>
        <w:overflowPunct/>
        <w:topLinePunct/>
        <w:autoSpaceDE w:val="0"/>
        <w:autoSpaceDN/>
        <w:bidi w:val="0"/>
        <w:adjustRightInd w:val="0"/>
        <w:snapToGrid w:val="0"/>
        <w:spacing w:before="53" w:line="303" w:lineRule="auto"/>
        <w:ind w:left="67" w:right="178" w:firstLine="630"/>
        <w:textAlignment w:val="baseline"/>
        <w:rPr>
          <w:spacing w:val="0"/>
          <w:sz w:val="32"/>
          <w:szCs w:val="32"/>
        </w:rPr>
      </w:pPr>
      <w:r>
        <w:rPr>
          <w:spacing w:val="0"/>
          <w:sz w:val="32"/>
          <w:szCs w:val="32"/>
        </w:rPr>
        <w:t>全年支出涉及出国（境）团组0个，累计0人次，主要 原因是本年度未安排人员出国。</w:t>
      </w:r>
    </w:p>
    <w:p w14:paraId="73AA966D">
      <w:pPr>
        <w:pStyle w:val="2"/>
        <w:keepNext w:val="0"/>
        <w:keepLines w:val="0"/>
        <w:pageBreakBefore w:val="0"/>
        <w:widowControl w:val="0"/>
        <w:kinsoku/>
        <w:wordWrap/>
        <w:overflowPunct/>
        <w:topLinePunct/>
        <w:autoSpaceDE w:val="0"/>
        <w:autoSpaceDN/>
        <w:bidi w:val="0"/>
        <w:adjustRightInd w:val="0"/>
        <w:snapToGrid w:val="0"/>
        <w:spacing w:before="52" w:line="314" w:lineRule="auto"/>
        <w:ind w:left="60" w:right="177" w:firstLine="622"/>
        <w:textAlignment w:val="baseline"/>
        <w:rPr>
          <w:spacing w:val="0"/>
          <w:sz w:val="32"/>
          <w:szCs w:val="32"/>
        </w:rPr>
      </w:pPr>
      <w:r>
        <w:rPr>
          <w:spacing w:val="0"/>
          <w:sz w:val="32"/>
          <w:szCs w:val="32"/>
        </w:rPr>
        <w:t>2.公务用车购置及运行费支出决算为</w:t>
      </w:r>
      <w:r>
        <w:rPr>
          <w:rFonts w:hint="eastAsia"/>
          <w:spacing w:val="0"/>
          <w:sz w:val="32"/>
          <w:szCs w:val="32"/>
          <w:lang w:val="en-US" w:eastAsia="zh-CN"/>
        </w:rPr>
        <w:t>1.8</w:t>
      </w:r>
      <w:r>
        <w:rPr>
          <w:spacing w:val="0"/>
          <w:sz w:val="32"/>
          <w:szCs w:val="32"/>
        </w:rPr>
        <w:t>万元，比年初预算</w:t>
      </w:r>
      <w:r>
        <w:rPr>
          <w:rFonts w:hint="eastAsia"/>
          <w:spacing w:val="0"/>
          <w:sz w:val="32"/>
          <w:szCs w:val="32"/>
          <w:lang w:val="en-US" w:eastAsia="zh-CN"/>
        </w:rPr>
        <w:t>减少1.21</w:t>
      </w:r>
      <w:r>
        <w:rPr>
          <w:spacing w:val="0"/>
          <w:sz w:val="32"/>
          <w:szCs w:val="32"/>
        </w:rPr>
        <w:t>万元，主要原因是主要原因是公务用车已达报废年限，维修费用</w:t>
      </w:r>
      <w:r>
        <w:rPr>
          <w:rFonts w:hint="eastAsia"/>
          <w:spacing w:val="0"/>
          <w:sz w:val="32"/>
          <w:szCs w:val="32"/>
          <w:lang w:eastAsia="zh-CN"/>
        </w:rPr>
        <w:t>跨年支付</w:t>
      </w:r>
      <w:r>
        <w:rPr>
          <w:spacing w:val="0"/>
          <w:sz w:val="32"/>
          <w:szCs w:val="32"/>
        </w:rPr>
        <w:t>。</w:t>
      </w:r>
    </w:p>
    <w:p w14:paraId="0D7AEF8D">
      <w:pPr>
        <w:pStyle w:val="2"/>
        <w:keepNext w:val="0"/>
        <w:keepLines w:val="0"/>
        <w:pageBreakBefore w:val="0"/>
        <w:widowControl w:val="0"/>
        <w:kinsoku/>
        <w:wordWrap/>
        <w:overflowPunct/>
        <w:topLinePunct/>
        <w:autoSpaceDE w:val="0"/>
        <w:autoSpaceDN/>
        <w:bidi w:val="0"/>
        <w:adjustRightInd w:val="0"/>
        <w:snapToGrid w:val="0"/>
        <w:spacing w:before="50" w:line="297" w:lineRule="auto"/>
        <w:ind w:left="60" w:right="178" w:firstLine="674"/>
        <w:textAlignment w:val="baseline"/>
        <w:rPr>
          <w:spacing w:val="0"/>
          <w:sz w:val="32"/>
          <w:szCs w:val="32"/>
        </w:rPr>
      </w:pPr>
      <w:r>
        <w:rPr>
          <w:spacing w:val="0"/>
          <w:sz w:val="32"/>
          <w:szCs w:val="32"/>
        </w:rPr>
        <w:t>(1)公务用车购置费0万元，完成年初预算的0%，与年初预算一致，主要原因是本年度无购置(更新)公务用车辆；与上年一致,主要原因是本年度无购置(更新)公务用车辆。</w:t>
      </w:r>
    </w:p>
    <w:p w14:paraId="33B5861C">
      <w:pPr>
        <w:pStyle w:val="2"/>
        <w:keepNext w:val="0"/>
        <w:keepLines w:val="0"/>
        <w:pageBreakBefore w:val="0"/>
        <w:widowControl w:val="0"/>
        <w:kinsoku/>
        <w:wordWrap/>
        <w:overflowPunct/>
        <w:topLinePunct/>
        <w:autoSpaceDE w:val="0"/>
        <w:autoSpaceDN/>
        <w:bidi w:val="0"/>
        <w:adjustRightInd w:val="0"/>
        <w:snapToGrid w:val="0"/>
        <w:spacing w:before="52" w:line="314" w:lineRule="auto"/>
        <w:ind w:left="60" w:right="177" w:firstLine="622"/>
        <w:textAlignment w:val="baseline"/>
        <w:rPr>
          <w:spacing w:val="0"/>
          <w:sz w:val="32"/>
          <w:szCs w:val="32"/>
        </w:rPr>
      </w:pPr>
      <w:r>
        <w:rPr>
          <w:spacing w:val="0"/>
          <w:sz w:val="32"/>
          <w:szCs w:val="32"/>
        </w:rPr>
        <w:t>(2)公务用车运行费</w:t>
      </w:r>
      <w:r>
        <w:rPr>
          <w:rFonts w:hint="eastAsia"/>
          <w:spacing w:val="0"/>
          <w:sz w:val="32"/>
          <w:szCs w:val="32"/>
          <w:lang w:val="en-US" w:eastAsia="zh-CN"/>
        </w:rPr>
        <w:t>1.8</w:t>
      </w:r>
      <w:r>
        <w:rPr>
          <w:spacing w:val="0"/>
          <w:sz w:val="32"/>
          <w:szCs w:val="32"/>
        </w:rPr>
        <w:t>万元，比年初预算</w:t>
      </w:r>
      <w:r>
        <w:rPr>
          <w:rFonts w:hint="eastAsia"/>
          <w:spacing w:val="0"/>
          <w:sz w:val="32"/>
          <w:szCs w:val="32"/>
          <w:lang w:val="en-US" w:eastAsia="zh-CN"/>
        </w:rPr>
        <w:t>减少1.21</w:t>
      </w:r>
      <w:r>
        <w:rPr>
          <w:spacing w:val="0"/>
          <w:sz w:val="32"/>
          <w:szCs w:val="32"/>
        </w:rPr>
        <w:t>万元，主要原因是主要原因是公务用车已达报废年限，维修费用</w:t>
      </w:r>
      <w:r>
        <w:rPr>
          <w:rFonts w:hint="eastAsia"/>
          <w:spacing w:val="0"/>
          <w:sz w:val="32"/>
          <w:szCs w:val="32"/>
          <w:lang w:eastAsia="zh-CN"/>
        </w:rPr>
        <w:t>跨年支付</w:t>
      </w:r>
      <w:r>
        <w:rPr>
          <w:spacing w:val="0"/>
          <w:sz w:val="32"/>
          <w:szCs w:val="32"/>
        </w:rPr>
        <w:t>。</w:t>
      </w:r>
    </w:p>
    <w:p w14:paraId="6901BD9D">
      <w:pPr>
        <w:pStyle w:val="2"/>
        <w:keepNext w:val="0"/>
        <w:keepLines w:val="0"/>
        <w:pageBreakBefore w:val="0"/>
        <w:widowControl w:val="0"/>
        <w:kinsoku/>
        <w:wordWrap/>
        <w:overflowPunct/>
        <w:topLinePunct/>
        <w:autoSpaceDE w:val="0"/>
        <w:autoSpaceDN/>
        <w:bidi w:val="0"/>
        <w:adjustRightInd w:val="0"/>
        <w:snapToGrid w:val="0"/>
        <w:spacing w:before="154" w:line="314" w:lineRule="auto"/>
        <w:ind w:right="118" w:firstLine="640" w:firstLineChars="200"/>
        <w:jc w:val="both"/>
        <w:textAlignment w:val="baseline"/>
        <w:rPr>
          <w:spacing w:val="0"/>
          <w:sz w:val="32"/>
          <w:szCs w:val="32"/>
        </w:rPr>
      </w:pPr>
      <w:r>
        <w:rPr>
          <w:spacing w:val="0"/>
          <w:sz w:val="32"/>
          <w:szCs w:val="32"/>
        </w:rPr>
        <w:t>(</w:t>
      </w:r>
      <w:r>
        <w:rPr>
          <w:rFonts w:hint="eastAsia"/>
          <w:spacing w:val="0"/>
          <w:sz w:val="32"/>
          <w:szCs w:val="32"/>
          <w:lang w:val="en-US" w:eastAsia="zh-CN"/>
        </w:rPr>
        <w:t>3</w:t>
      </w:r>
      <w:r>
        <w:rPr>
          <w:spacing w:val="0"/>
          <w:sz w:val="32"/>
          <w:szCs w:val="32"/>
        </w:rPr>
        <w:t>)公务接待费支出决算为</w:t>
      </w:r>
      <w:r>
        <w:rPr>
          <w:rFonts w:hint="eastAsia"/>
          <w:spacing w:val="0"/>
          <w:sz w:val="32"/>
          <w:szCs w:val="32"/>
          <w:lang w:val="en-US" w:eastAsia="zh-CN"/>
        </w:rPr>
        <w:t>0.2</w:t>
      </w:r>
      <w:r>
        <w:rPr>
          <w:spacing w:val="0"/>
          <w:sz w:val="32"/>
          <w:szCs w:val="32"/>
        </w:rPr>
        <w:t>万元，</w:t>
      </w:r>
      <w:r>
        <w:rPr>
          <w:rFonts w:hint="eastAsia"/>
          <w:spacing w:val="0"/>
          <w:sz w:val="32"/>
          <w:szCs w:val="32"/>
          <w:lang w:eastAsia="zh-CN"/>
        </w:rPr>
        <w:t>比年初预算</w:t>
      </w:r>
      <w:r>
        <w:rPr>
          <w:rFonts w:hint="eastAsia"/>
          <w:spacing w:val="0"/>
          <w:sz w:val="32"/>
          <w:szCs w:val="32"/>
          <w:lang w:val="en-US" w:eastAsia="zh-CN"/>
        </w:rPr>
        <w:t>2.49万元</w:t>
      </w:r>
      <w:r>
        <w:rPr>
          <w:spacing w:val="0"/>
          <w:sz w:val="32"/>
          <w:szCs w:val="32"/>
        </w:rPr>
        <w:t>减少</w:t>
      </w:r>
      <w:r>
        <w:rPr>
          <w:rFonts w:hint="eastAsia"/>
          <w:spacing w:val="0"/>
          <w:sz w:val="32"/>
          <w:szCs w:val="32"/>
          <w:lang w:val="en-US" w:eastAsia="zh-CN"/>
        </w:rPr>
        <w:t>2.29</w:t>
      </w:r>
      <w:r>
        <w:rPr>
          <w:spacing w:val="0"/>
          <w:sz w:val="32"/>
          <w:szCs w:val="32"/>
        </w:rPr>
        <w:t>万元，主要原因</w:t>
      </w:r>
      <w:r>
        <w:rPr>
          <w:rFonts w:hint="eastAsia"/>
          <w:spacing w:val="0"/>
          <w:sz w:val="32"/>
          <w:szCs w:val="32"/>
          <w:lang w:eastAsia="zh-CN"/>
        </w:rPr>
        <w:t>：部分当年产生的公务接待费跨年支付。</w:t>
      </w:r>
    </w:p>
    <w:p w14:paraId="7F066B85">
      <w:pPr>
        <w:pStyle w:val="2"/>
        <w:keepNext w:val="0"/>
        <w:keepLines w:val="0"/>
        <w:pageBreakBefore w:val="0"/>
        <w:widowControl w:val="0"/>
        <w:kinsoku/>
        <w:wordWrap/>
        <w:overflowPunct/>
        <w:topLinePunct/>
        <w:autoSpaceDE w:val="0"/>
        <w:autoSpaceDN/>
        <w:bidi w:val="0"/>
        <w:adjustRightInd w:val="0"/>
        <w:snapToGrid w:val="0"/>
        <w:spacing w:before="52" w:line="305" w:lineRule="auto"/>
        <w:ind w:left="65" w:right="118" w:firstLine="627"/>
        <w:textAlignment w:val="baseline"/>
        <w:rPr>
          <w:spacing w:val="0"/>
          <w:sz w:val="32"/>
          <w:szCs w:val="32"/>
        </w:rPr>
      </w:pPr>
      <w:r>
        <w:rPr>
          <w:spacing w:val="0"/>
          <w:sz w:val="32"/>
          <w:szCs w:val="32"/>
        </w:rPr>
        <w:t>外宾接待支出0万元，202</w:t>
      </w:r>
      <w:r>
        <w:rPr>
          <w:rFonts w:hint="eastAsia"/>
          <w:spacing w:val="0"/>
          <w:sz w:val="32"/>
          <w:szCs w:val="32"/>
          <w:lang w:val="en-US" w:eastAsia="zh-CN"/>
        </w:rPr>
        <w:t>3</w:t>
      </w:r>
      <w:r>
        <w:rPr>
          <w:spacing w:val="0"/>
          <w:sz w:val="32"/>
          <w:szCs w:val="32"/>
        </w:rPr>
        <w:t>年共接待来访团组0个，0 人次（不包括陪同人员）。</w:t>
      </w:r>
    </w:p>
    <w:p w14:paraId="0660C353">
      <w:pPr>
        <w:pStyle w:val="2"/>
        <w:keepNext w:val="0"/>
        <w:keepLines w:val="0"/>
        <w:pageBreakBefore w:val="0"/>
        <w:widowControl w:val="0"/>
        <w:kinsoku/>
        <w:wordWrap/>
        <w:overflowPunct/>
        <w:topLinePunct/>
        <w:autoSpaceDE w:val="0"/>
        <w:autoSpaceDN/>
        <w:bidi w:val="0"/>
        <w:adjustRightInd w:val="0"/>
        <w:snapToGrid w:val="0"/>
        <w:spacing w:before="52" w:line="312" w:lineRule="auto"/>
        <w:ind w:left="62" w:right="114" w:firstLine="662"/>
        <w:jc w:val="both"/>
        <w:textAlignment w:val="baseline"/>
        <w:rPr>
          <w:spacing w:val="0"/>
          <w:sz w:val="32"/>
          <w:szCs w:val="32"/>
        </w:rPr>
      </w:pPr>
      <w:r>
        <w:rPr>
          <w:spacing w:val="0"/>
          <w:sz w:val="32"/>
          <w:szCs w:val="32"/>
        </w:rPr>
        <w:t>国内公务接待支出</w:t>
      </w:r>
      <w:r>
        <w:rPr>
          <w:rFonts w:hint="eastAsia"/>
          <w:spacing w:val="0"/>
          <w:sz w:val="32"/>
          <w:szCs w:val="32"/>
          <w:lang w:val="en-US" w:eastAsia="zh-CN"/>
        </w:rPr>
        <w:t>0.2</w:t>
      </w:r>
      <w:r>
        <w:rPr>
          <w:spacing w:val="0"/>
          <w:sz w:val="32"/>
          <w:szCs w:val="32"/>
        </w:rPr>
        <w:t>万元，接待对象主要是</w:t>
      </w:r>
      <w:r>
        <w:rPr>
          <w:color w:val="auto"/>
          <w:spacing w:val="0"/>
          <w:sz w:val="32"/>
          <w:szCs w:val="32"/>
        </w:rPr>
        <w:t>国内相关工作单位，主要是开展用于外单位来我会交流工作及我会接 受上级或相关部门检查指导工作。</w:t>
      </w:r>
      <w:bookmarkStart w:id="0" w:name="_GoBack"/>
      <w:bookmarkEnd w:id="0"/>
      <w:r>
        <w:rPr>
          <w:spacing w:val="0"/>
          <w:sz w:val="32"/>
          <w:szCs w:val="32"/>
        </w:rPr>
        <w:t>202</w:t>
      </w:r>
      <w:r>
        <w:rPr>
          <w:rFonts w:hint="eastAsia"/>
          <w:spacing w:val="0"/>
          <w:sz w:val="32"/>
          <w:szCs w:val="32"/>
          <w:lang w:val="en-US" w:eastAsia="zh-CN"/>
        </w:rPr>
        <w:t>3</w:t>
      </w:r>
      <w:r>
        <w:rPr>
          <w:spacing w:val="0"/>
          <w:sz w:val="32"/>
          <w:szCs w:val="32"/>
        </w:rPr>
        <w:t>年共接待国内来访团组</w:t>
      </w:r>
      <w:r>
        <w:rPr>
          <w:rFonts w:hint="eastAsia"/>
          <w:spacing w:val="0"/>
          <w:sz w:val="32"/>
          <w:szCs w:val="32"/>
          <w:lang w:val="en-US" w:eastAsia="zh-CN"/>
        </w:rPr>
        <w:t>2</w:t>
      </w:r>
      <w:r>
        <w:rPr>
          <w:spacing w:val="0"/>
          <w:sz w:val="32"/>
          <w:szCs w:val="32"/>
        </w:rPr>
        <w:t>个，</w:t>
      </w:r>
      <w:r>
        <w:rPr>
          <w:rFonts w:hint="eastAsia"/>
          <w:spacing w:val="0"/>
          <w:sz w:val="32"/>
          <w:szCs w:val="32"/>
          <w:lang w:val="en-US" w:eastAsia="zh-CN"/>
        </w:rPr>
        <w:t>18</w:t>
      </w:r>
      <w:r>
        <w:rPr>
          <w:spacing w:val="0"/>
          <w:sz w:val="32"/>
          <w:szCs w:val="32"/>
        </w:rPr>
        <w:t xml:space="preserve"> 人次（不包括陪同人员）。</w:t>
      </w:r>
    </w:p>
    <w:p w14:paraId="2F6F3E22">
      <w:pPr>
        <w:keepNext w:val="0"/>
        <w:keepLines w:val="0"/>
        <w:pageBreakBefore w:val="0"/>
        <w:widowControl w:val="0"/>
        <w:kinsoku/>
        <w:wordWrap/>
        <w:overflowPunct/>
        <w:topLinePunct/>
        <w:autoSpaceDE w:val="0"/>
        <w:autoSpaceDN/>
        <w:bidi w:val="0"/>
        <w:adjustRightInd w:val="0"/>
        <w:snapToGrid w:val="0"/>
        <w:spacing w:before="43" w:line="226" w:lineRule="auto"/>
        <w:ind w:left="667"/>
        <w:textAlignment w:val="baseline"/>
        <w:rPr>
          <w:rFonts w:ascii="黑体" w:hAnsi="黑体" w:eastAsia="黑体" w:cs="黑体"/>
          <w:spacing w:val="0"/>
          <w:sz w:val="31"/>
          <w:szCs w:val="31"/>
        </w:rPr>
      </w:pPr>
      <w:r>
        <w:rPr>
          <w:rFonts w:ascii="黑体" w:hAnsi="黑体" w:eastAsia="黑体" w:cs="黑体"/>
          <w:spacing w:val="0"/>
          <w:sz w:val="31"/>
          <w:szCs w:val="31"/>
        </w:rPr>
        <w:t>八、政府性基金预算财政拨款收入支出决算情况说明</w:t>
      </w:r>
    </w:p>
    <w:p w14:paraId="58EE1C68">
      <w:pPr>
        <w:pStyle w:val="2"/>
        <w:keepNext w:val="0"/>
        <w:keepLines w:val="0"/>
        <w:pageBreakBefore w:val="0"/>
        <w:widowControl w:val="0"/>
        <w:kinsoku/>
        <w:wordWrap/>
        <w:overflowPunct/>
        <w:topLinePunct/>
        <w:autoSpaceDE w:val="0"/>
        <w:autoSpaceDN/>
        <w:bidi w:val="0"/>
        <w:adjustRightInd w:val="0"/>
        <w:snapToGrid w:val="0"/>
        <w:spacing w:before="151" w:line="315" w:lineRule="auto"/>
        <w:ind w:left="53" w:right="115" w:firstLine="680"/>
        <w:jc w:val="both"/>
        <w:textAlignment w:val="baseline"/>
        <w:rPr>
          <w:rFonts w:hint="eastAsia"/>
          <w:spacing w:val="0"/>
          <w:sz w:val="32"/>
          <w:szCs w:val="32"/>
        </w:rPr>
      </w:pPr>
      <w:r>
        <w:rPr>
          <w:rFonts w:hint="eastAsia"/>
          <w:spacing w:val="0"/>
          <w:sz w:val="32"/>
          <w:szCs w:val="32"/>
        </w:rPr>
        <w:t>202</w:t>
      </w:r>
      <w:r>
        <w:rPr>
          <w:rFonts w:hint="eastAsia"/>
          <w:spacing w:val="0"/>
          <w:sz w:val="32"/>
          <w:szCs w:val="32"/>
          <w:lang w:val="en-US" w:eastAsia="zh-CN"/>
        </w:rPr>
        <w:t>3</w:t>
      </w:r>
      <w:r>
        <w:rPr>
          <w:rFonts w:hint="eastAsia"/>
          <w:spacing w:val="0"/>
          <w:sz w:val="32"/>
          <w:szCs w:val="32"/>
        </w:rPr>
        <w:t>年度政府性基金预算财政拨款本年收入</w:t>
      </w:r>
      <w:r>
        <w:rPr>
          <w:rFonts w:hint="eastAsia"/>
          <w:spacing w:val="0"/>
          <w:sz w:val="32"/>
          <w:szCs w:val="32"/>
          <w:lang w:val="en-US" w:eastAsia="zh-CN"/>
        </w:rPr>
        <w:t>282.89</w:t>
      </w:r>
      <w:r>
        <w:rPr>
          <w:rFonts w:hint="eastAsia"/>
          <w:spacing w:val="0"/>
          <w:sz w:val="32"/>
          <w:szCs w:val="32"/>
        </w:rPr>
        <w:t>万元，本年支出</w:t>
      </w:r>
      <w:r>
        <w:rPr>
          <w:rFonts w:hint="eastAsia"/>
          <w:spacing w:val="0"/>
          <w:sz w:val="32"/>
          <w:szCs w:val="32"/>
          <w:lang w:val="en-US" w:eastAsia="zh-CN"/>
        </w:rPr>
        <w:t>282.89</w:t>
      </w:r>
      <w:r>
        <w:rPr>
          <w:rFonts w:hint="eastAsia"/>
          <w:spacing w:val="0"/>
          <w:sz w:val="32"/>
          <w:szCs w:val="32"/>
        </w:rPr>
        <w:t>万元，年末结转和结余0万元。具体支出情况为：</w:t>
      </w:r>
    </w:p>
    <w:p w14:paraId="0DF67499">
      <w:pPr>
        <w:pStyle w:val="2"/>
        <w:keepNext w:val="0"/>
        <w:keepLines w:val="0"/>
        <w:pageBreakBefore w:val="0"/>
        <w:widowControl w:val="0"/>
        <w:kinsoku/>
        <w:wordWrap/>
        <w:overflowPunct/>
        <w:topLinePunct/>
        <w:autoSpaceDE w:val="0"/>
        <w:autoSpaceDN/>
        <w:bidi w:val="0"/>
        <w:adjustRightInd w:val="0"/>
        <w:snapToGrid w:val="0"/>
        <w:spacing w:before="151" w:line="315" w:lineRule="auto"/>
        <w:ind w:left="53" w:right="115" w:firstLine="680"/>
        <w:jc w:val="both"/>
        <w:textAlignment w:val="baseline"/>
        <w:rPr>
          <w:rFonts w:hint="eastAsia" w:ascii="仿宋" w:hAnsi="仿宋" w:eastAsia="仿宋" w:cs="仿宋"/>
          <w:spacing w:val="0"/>
          <w:sz w:val="32"/>
          <w:szCs w:val="32"/>
        </w:rPr>
      </w:pPr>
      <w:r>
        <w:rPr>
          <w:rFonts w:hint="eastAsia"/>
          <w:spacing w:val="0"/>
          <w:sz w:val="32"/>
          <w:szCs w:val="32"/>
        </w:rPr>
        <w:t>(一)其他支出(类)。支出决算为</w:t>
      </w:r>
      <w:r>
        <w:rPr>
          <w:rFonts w:hint="eastAsia"/>
          <w:spacing w:val="0"/>
          <w:sz w:val="32"/>
          <w:szCs w:val="32"/>
          <w:lang w:val="en-US" w:eastAsia="zh-CN"/>
        </w:rPr>
        <w:t>282.89</w:t>
      </w:r>
      <w:r>
        <w:rPr>
          <w:rFonts w:hint="eastAsia"/>
          <w:spacing w:val="0"/>
          <w:sz w:val="32"/>
          <w:szCs w:val="32"/>
        </w:rPr>
        <w:t>万元，主要用于 残疾儿童康复、残疾人家庭无障碍改造、残疾人文化五个一活动、残疾人评定补贴等方面支出</w:t>
      </w:r>
      <w:r>
        <w:rPr>
          <w:rFonts w:hint="eastAsia" w:ascii="仿宋" w:hAnsi="仿宋" w:eastAsia="仿宋" w:cs="仿宋"/>
          <w:spacing w:val="0"/>
          <w:sz w:val="32"/>
          <w:szCs w:val="32"/>
        </w:rPr>
        <w:t>。</w:t>
      </w:r>
    </w:p>
    <w:p w14:paraId="51988816">
      <w:pPr>
        <w:keepNext w:val="0"/>
        <w:keepLines w:val="0"/>
        <w:pageBreakBefore w:val="0"/>
        <w:widowControl w:val="0"/>
        <w:kinsoku/>
        <w:wordWrap/>
        <w:overflowPunct/>
        <w:topLinePunct/>
        <w:autoSpaceDE w:val="0"/>
        <w:autoSpaceDN/>
        <w:bidi w:val="0"/>
        <w:adjustRightInd w:val="0"/>
        <w:snapToGrid w:val="0"/>
        <w:spacing w:before="143" w:line="226" w:lineRule="auto"/>
        <w:ind w:left="674"/>
        <w:textAlignment w:val="baseline"/>
        <w:rPr>
          <w:rFonts w:ascii="黑体" w:hAnsi="黑体" w:eastAsia="黑体" w:cs="黑体"/>
          <w:spacing w:val="0"/>
          <w:sz w:val="31"/>
          <w:szCs w:val="31"/>
        </w:rPr>
      </w:pPr>
      <w:r>
        <w:rPr>
          <w:rFonts w:ascii="黑体" w:hAnsi="黑体" w:eastAsia="黑体" w:cs="黑体"/>
          <w:spacing w:val="0"/>
          <w:sz w:val="31"/>
          <w:szCs w:val="31"/>
        </w:rPr>
        <w:t>九、国有资本经营预算财政拨款支出决算情况说明</w:t>
      </w:r>
    </w:p>
    <w:p w14:paraId="19C0F4E4">
      <w:pPr>
        <w:pStyle w:val="2"/>
        <w:keepNext w:val="0"/>
        <w:keepLines w:val="0"/>
        <w:pageBreakBefore w:val="0"/>
        <w:widowControl w:val="0"/>
        <w:kinsoku/>
        <w:wordWrap/>
        <w:overflowPunct/>
        <w:topLinePunct/>
        <w:autoSpaceDE w:val="0"/>
        <w:autoSpaceDN/>
        <w:bidi w:val="0"/>
        <w:adjustRightInd w:val="0"/>
        <w:snapToGrid w:val="0"/>
        <w:spacing w:before="142" w:line="221" w:lineRule="auto"/>
        <w:jc w:val="right"/>
        <w:textAlignment w:val="baseline"/>
        <w:rPr>
          <w:spacing w:val="0"/>
          <w:sz w:val="32"/>
          <w:szCs w:val="32"/>
        </w:rPr>
      </w:pPr>
      <w:r>
        <w:rPr>
          <w:spacing w:val="0"/>
          <w:sz w:val="32"/>
          <w:szCs w:val="32"/>
        </w:rPr>
        <w:t>202</w:t>
      </w:r>
      <w:r>
        <w:rPr>
          <w:rFonts w:hint="eastAsia"/>
          <w:spacing w:val="0"/>
          <w:sz w:val="32"/>
          <w:szCs w:val="32"/>
          <w:lang w:val="en-US" w:eastAsia="zh-CN"/>
        </w:rPr>
        <w:t>3</w:t>
      </w:r>
      <w:r>
        <w:rPr>
          <w:spacing w:val="0"/>
          <w:sz w:val="32"/>
          <w:szCs w:val="32"/>
        </w:rPr>
        <w:t xml:space="preserve"> 年本单位当年无国有资本经营预算财政拨款支出。</w:t>
      </w:r>
    </w:p>
    <w:p w14:paraId="3E70719E">
      <w:pPr>
        <w:keepNext w:val="0"/>
        <w:keepLines w:val="0"/>
        <w:pageBreakBefore w:val="0"/>
        <w:widowControl w:val="0"/>
        <w:kinsoku/>
        <w:wordWrap/>
        <w:overflowPunct/>
        <w:topLinePunct/>
        <w:autoSpaceDE w:val="0"/>
        <w:autoSpaceDN/>
        <w:bidi w:val="0"/>
        <w:adjustRightInd w:val="0"/>
        <w:snapToGrid w:val="0"/>
        <w:spacing w:before="149" w:line="226" w:lineRule="auto"/>
        <w:ind w:left="671"/>
        <w:textAlignment w:val="baseline"/>
        <w:rPr>
          <w:rFonts w:ascii="黑体" w:hAnsi="黑体" w:eastAsia="黑体" w:cs="黑体"/>
          <w:spacing w:val="0"/>
          <w:sz w:val="31"/>
          <w:szCs w:val="31"/>
        </w:rPr>
      </w:pPr>
      <w:r>
        <w:rPr>
          <w:rFonts w:ascii="黑体" w:hAnsi="黑体" w:eastAsia="黑体" w:cs="黑体"/>
          <w:spacing w:val="0"/>
          <w:sz w:val="31"/>
          <w:szCs w:val="31"/>
        </w:rPr>
        <w:t>十、机关运行经费支出说明</w:t>
      </w:r>
    </w:p>
    <w:p w14:paraId="517C2404">
      <w:pPr>
        <w:pStyle w:val="2"/>
        <w:keepNext w:val="0"/>
        <w:keepLines w:val="0"/>
        <w:pageBreakBefore w:val="0"/>
        <w:widowControl w:val="0"/>
        <w:kinsoku/>
        <w:wordWrap/>
        <w:overflowPunct/>
        <w:topLinePunct/>
        <w:autoSpaceDE w:val="0"/>
        <w:autoSpaceDN/>
        <w:bidi w:val="0"/>
        <w:adjustRightInd w:val="0"/>
        <w:snapToGrid w:val="0"/>
        <w:spacing w:before="135" w:line="295" w:lineRule="auto"/>
        <w:ind w:left="26" w:right="24" w:firstLine="640"/>
        <w:jc w:val="both"/>
        <w:textAlignment w:val="baseline"/>
        <w:rPr>
          <w:rFonts w:hint="eastAsia" w:ascii="仿宋" w:hAnsi="仿宋" w:eastAsia="仿宋" w:cs="仿宋"/>
          <w:spacing w:val="0"/>
          <w:sz w:val="32"/>
          <w:szCs w:val="32"/>
          <w:lang w:eastAsia="zh-CN"/>
        </w:rPr>
      </w:pPr>
      <w:r>
        <w:rPr>
          <w:rFonts w:hint="eastAsia" w:ascii="仿宋" w:hAnsi="仿宋" w:eastAsia="仿宋" w:cs="仿宋"/>
          <w:spacing w:val="0"/>
          <w:sz w:val="32"/>
          <w:szCs w:val="32"/>
        </w:rPr>
        <w:t>本部门202</w:t>
      </w:r>
      <w:r>
        <w:rPr>
          <w:rFonts w:hint="eastAsia" w:cs="仿宋"/>
          <w:spacing w:val="0"/>
          <w:sz w:val="32"/>
          <w:szCs w:val="32"/>
          <w:lang w:val="en-US" w:eastAsia="zh-CN"/>
        </w:rPr>
        <w:t>3</w:t>
      </w:r>
      <w:r>
        <w:rPr>
          <w:rFonts w:hint="eastAsia" w:ascii="仿宋" w:hAnsi="仿宋" w:eastAsia="仿宋" w:cs="仿宋"/>
          <w:spacing w:val="0"/>
          <w:sz w:val="32"/>
          <w:szCs w:val="32"/>
        </w:rPr>
        <w:t>年度机关运行经费支出</w:t>
      </w:r>
      <w:r>
        <w:rPr>
          <w:rFonts w:hint="eastAsia" w:cs="仿宋"/>
          <w:spacing w:val="0"/>
          <w:sz w:val="32"/>
          <w:szCs w:val="32"/>
          <w:lang w:val="en-US" w:eastAsia="zh-CN"/>
        </w:rPr>
        <w:t>13.2</w:t>
      </w:r>
      <w:r>
        <w:rPr>
          <w:rFonts w:hint="eastAsia" w:ascii="仿宋" w:hAnsi="仿宋" w:eastAsia="仿宋" w:cs="仿宋"/>
          <w:spacing w:val="0"/>
          <w:sz w:val="32"/>
          <w:szCs w:val="32"/>
        </w:rPr>
        <w:t>万元，比年初预算数</w:t>
      </w:r>
      <w:r>
        <w:rPr>
          <w:rFonts w:hint="eastAsia" w:cs="仿宋"/>
          <w:spacing w:val="0"/>
          <w:sz w:val="32"/>
          <w:szCs w:val="32"/>
          <w:lang w:eastAsia="zh-CN"/>
        </w:rPr>
        <w:t>增加</w:t>
      </w:r>
      <w:r>
        <w:rPr>
          <w:rFonts w:hint="eastAsia" w:cs="仿宋"/>
          <w:spacing w:val="0"/>
          <w:sz w:val="32"/>
          <w:szCs w:val="32"/>
          <w:lang w:val="en-US" w:eastAsia="zh-CN"/>
        </w:rPr>
        <w:t>4.44</w:t>
      </w:r>
      <w:r>
        <w:rPr>
          <w:rFonts w:hint="eastAsia" w:ascii="仿宋" w:hAnsi="仿宋" w:eastAsia="仿宋" w:cs="仿宋"/>
          <w:spacing w:val="0"/>
          <w:sz w:val="32"/>
          <w:szCs w:val="32"/>
        </w:rPr>
        <w:t>万元，</w:t>
      </w:r>
      <w:r>
        <w:rPr>
          <w:rFonts w:hint="eastAsia" w:cs="仿宋"/>
          <w:spacing w:val="0"/>
          <w:sz w:val="32"/>
          <w:szCs w:val="32"/>
          <w:lang w:eastAsia="zh-CN"/>
        </w:rPr>
        <w:t>增加</w:t>
      </w:r>
      <w:r>
        <w:rPr>
          <w:rFonts w:hint="eastAsia" w:cs="仿宋"/>
          <w:spacing w:val="0"/>
          <w:sz w:val="32"/>
          <w:szCs w:val="32"/>
          <w:lang w:val="en-US" w:eastAsia="zh-CN"/>
        </w:rPr>
        <w:t>50.68</w:t>
      </w:r>
      <w:r>
        <w:rPr>
          <w:rFonts w:hint="eastAsia" w:ascii="仿宋" w:hAnsi="仿宋" w:eastAsia="仿宋" w:cs="仿宋"/>
          <w:spacing w:val="0"/>
          <w:sz w:val="32"/>
          <w:szCs w:val="32"/>
        </w:rPr>
        <w:t>%。主要原因是：</w:t>
      </w:r>
      <w:r>
        <w:rPr>
          <w:rFonts w:hint="eastAsia" w:cs="仿宋"/>
          <w:spacing w:val="0"/>
          <w:sz w:val="32"/>
          <w:szCs w:val="32"/>
          <w:lang w:eastAsia="zh-CN"/>
        </w:rPr>
        <w:t>康复中心人员增加，康复中心大楼水电费增加。</w:t>
      </w:r>
    </w:p>
    <w:p w14:paraId="41ADB25D">
      <w:pPr>
        <w:keepNext w:val="0"/>
        <w:keepLines w:val="0"/>
        <w:pageBreakBefore w:val="0"/>
        <w:widowControl w:val="0"/>
        <w:kinsoku/>
        <w:wordWrap/>
        <w:overflowPunct/>
        <w:topLinePunct/>
        <w:autoSpaceDE w:val="0"/>
        <w:autoSpaceDN/>
        <w:bidi w:val="0"/>
        <w:adjustRightInd w:val="0"/>
        <w:snapToGrid w:val="0"/>
        <w:spacing w:before="103" w:line="226" w:lineRule="auto"/>
        <w:ind w:left="671"/>
        <w:textAlignment w:val="baseline"/>
        <w:rPr>
          <w:rFonts w:ascii="黑体" w:hAnsi="黑体" w:eastAsia="黑体" w:cs="黑体"/>
          <w:spacing w:val="0"/>
          <w:sz w:val="31"/>
          <w:szCs w:val="31"/>
        </w:rPr>
      </w:pPr>
      <w:r>
        <w:rPr>
          <w:rFonts w:ascii="黑体" w:hAnsi="黑体" w:eastAsia="黑体" w:cs="黑体"/>
          <w:spacing w:val="0"/>
          <w:sz w:val="31"/>
          <w:szCs w:val="31"/>
        </w:rPr>
        <w:t>十一、政府采购支出说明</w:t>
      </w:r>
    </w:p>
    <w:p w14:paraId="20818FAA">
      <w:pPr>
        <w:pStyle w:val="2"/>
        <w:keepNext w:val="0"/>
        <w:keepLines w:val="0"/>
        <w:pageBreakBefore w:val="0"/>
        <w:widowControl w:val="0"/>
        <w:kinsoku/>
        <w:wordWrap/>
        <w:overflowPunct/>
        <w:topLinePunct/>
        <w:autoSpaceDE w:val="0"/>
        <w:autoSpaceDN/>
        <w:bidi w:val="0"/>
        <w:adjustRightInd w:val="0"/>
        <w:snapToGrid w:val="0"/>
        <w:spacing w:before="149" w:line="310" w:lineRule="auto"/>
        <w:ind w:left="23" w:right="107" w:firstLine="64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本部门202</w:t>
      </w:r>
      <w:r>
        <w:rPr>
          <w:rFonts w:hint="eastAsia" w:cs="仿宋"/>
          <w:spacing w:val="0"/>
          <w:sz w:val="32"/>
          <w:szCs w:val="32"/>
          <w:lang w:val="en-US" w:eastAsia="zh-CN"/>
        </w:rPr>
        <w:t>3</w:t>
      </w:r>
      <w:r>
        <w:rPr>
          <w:rFonts w:hint="eastAsia" w:ascii="仿宋" w:hAnsi="仿宋" w:eastAsia="仿宋" w:cs="仿宋"/>
          <w:spacing w:val="0"/>
          <w:sz w:val="32"/>
          <w:szCs w:val="32"/>
        </w:rPr>
        <w:t>年度政府采购支出总额0万元，其中：政府采购货物支出0万元、政府采购工程支出 0万元、政府采购服务支出0万元。授予中小企业合同金额0万元，占政府采购支出总额的0%。</w:t>
      </w:r>
    </w:p>
    <w:p w14:paraId="47CF0A66">
      <w:pPr>
        <w:keepNext w:val="0"/>
        <w:keepLines w:val="0"/>
        <w:pageBreakBefore w:val="0"/>
        <w:widowControl w:val="0"/>
        <w:kinsoku/>
        <w:wordWrap/>
        <w:overflowPunct/>
        <w:topLinePunct/>
        <w:autoSpaceDE w:val="0"/>
        <w:autoSpaceDN/>
        <w:bidi w:val="0"/>
        <w:adjustRightInd w:val="0"/>
        <w:snapToGrid w:val="0"/>
        <w:spacing w:line="226" w:lineRule="auto"/>
        <w:ind w:left="671"/>
        <w:textAlignment w:val="baseline"/>
        <w:rPr>
          <w:rFonts w:ascii="黑体" w:hAnsi="黑体" w:eastAsia="黑体" w:cs="黑体"/>
          <w:spacing w:val="0"/>
          <w:sz w:val="31"/>
          <w:szCs w:val="31"/>
        </w:rPr>
      </w:pPr>
      <w:r>
        <w:rPr>
          <w:rFonts w:ascii="黑体" w:hAnsi="黑体" w:eastAsia="黑体" w:cs="黑体"/>
          <w:spacing w:val="0"/>
          <w:sz w:val="31"/>
          <w:szCs w:val="31"/>
        </w:rPr>
        <w:t>十二、国有资产占用情况说明</w:t>
      </w:r>
    </w:p>
    <w:p w14:paraId="156C26CD">
      <w:pPr>
        <w:pStyle w:val="2"/>
        <w:keepNext w:val="0"/>
        <w:keepLines w:val="0"/>
        <w:pageBreakBefore w:val="0"/>
        <w:widowControl w:val="0"/>
        <w:kinsoku/>
        <w:wordWrap/>
        <w:overflowPunct/>
        <w:topLinePunct/>
        <w:autoSpaceDE w:val="0"/>
        <w:autoSpaceDN/>
        <w:bidi w:val="0"/>
        <w:adjustRightInd w:val="0"/>
        <w:snapToGrid w:val="0"/>
        <w:spacing w:before="144" w:line="304" w:lineRule="auto"/>
        <w:ind w:left="25" w:firstLine="64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截至 202</w:t>
      </w:r>
      <w:r>
        <w:rPr>
          <w:rFonts w:hint="eastAsia" w:cs="仿宋"/>
          <w:spacing w:val="0"/>
          <w:sz w:val="32"/>
          <w:szCs w:val="32"/>
          <w:lang w:val="en-US" w:eastAsia="zh-CN"/>
        </w:rPr>
        <w:t>3</w:t>
      </w:r>
      <w:r>
        <w:rPr>
          <w:rFonts w:hint="eastAsia" w:ascii="仿宋" w:hAnsi="仿宋" w:eastAsia="仿宋" w:cs="仿宋"/>
          <w:spacing w:val="0"/>
          <w:sz w:val="32"/>
          <w:szCs w:val="32"/>
        </w:rPr>
        <w:t xml:space="preserve"> 年12月31日，部门共有车辆1辆，其中， 副省级及以上领导干部用车0辆、主要领导干部用车0辆、 机要通信用车0辆、应急保障用车0辆、执法执勤用车0辆、特种专业技术用车0辆、其他用车1辆，其他用车主要是中残联拨残疾人辅具流动车；单位价值50万元以上通用设备0台</w:t>
      </w:r>
      <w:r>
        <w:rPr>
          <w:rFonts w:hint="eastAsia" w:cs="仿宋"/>
          <w:spacing w:val="0"/>
          <w:sz w:val="32"/>
          <w:szCs w:val="32"/>
          <w:lang w:val="en-US" w:eastAsia="zh-CN"/>
        </w:rPr>
        <w:t>(</w:t>
      </w:r>
      <w:r>
        <w:rPr>
          <w:rFonts w:hint="eastAsia" w:ascii="仿宋" w:hAnsi="仿宋" w:eastAsia="仿宋" w:cs="仿宋"/>
          <w:spacing w:val="0"/>
          <w:sz w:val="32"/>
          <w:szCs w:val="32"/>
        </w:rPr>
        <w:t>套</w:t>
      </w:r>
      <w:r>
        <w:rPr>
          <w:rFonts w:hint="eastAsia" w:cs="仿宋"/>
          <w:spacing w:val="0"/>
          <w:sz w:val="32"/>
          <w:szCs w:val="32"/>
          <w:lang w:val="en-US" w:eastAsia="zh-CN"/>
        </w:rPr>
        <w:t>)</w:t>
      </w:r>
      <w:r>
        <w:rPr>
          <w:rFonts w:hint="eastAsia" w:ascii="仿宋" w:hAnsi="仿宋" w:eastAsia="仿宋" w:cs="仿宋"/>
          <w:spacing w:val="0"/>
          <w:sz w:val="32"/>
          <w:szCs w:val="32"/>
        </w:rPr>
        <w:t>；单位价值100万元以上专用设备0台</w:t>
      </w:r>
      <w:r>
        <w:rPr>
          <w:rFonts w:hint="eastAsia" w:cs="仿宋"/>
          <w:spacing w:val="0"/>
          <w:sz w:val="32"/>
          <w:szCs w:val="32"/>
          <w:lang w:val="en-US" w:eastAsia="zh-CN"/>
        </w:rPr>
        <w:t>(</w:t>
      </w:r>
      <w:r>
        <w:rPr>
          <w:rFonts w:hint="eastAsia" w:ascii="仿宋" w:hAnsi="仿宋" w:eastAsia="仿宋" w:cs="仿宋"/>
          <w:spacing w:val="0"/>
          <w:sz w:val="32"/>
          <w:szCs w:val="32"/>
        </w:rPr>
        <w:t>套</w:t>
      </w:r>
      <w:r>
        <w:rPr>
          <w:rFonts w:hint="eastAsia" w:cs="仿宋"/>
          <w:spacing w:val="0"/>
          <w:sz w:val="32"/>
          <w:szCs w:val="32"/>
          <w:lang w:val="en-US" w:eastAsia="zh-CN"/>
        </w:rPr>
        <w:t>)</w:t>
      </w:r>
      <w:r>
        <w:rPr>
          <w:rFonts w:hint="eastAsia" w:ascii="仿宋" w:hAnsi="仿宋" w:eastAsia="仿宋" w:cs="仿宋"/>
          <w:spacing w:val="0"/>
          <w:sz w:val="32"/>
          <w:szCs w:val="32"/>
        </w:rPr>
        <w:t>。</w:t>
      </w:r>
    </w:p>
    <w:p w14:paraId="28DE0EFA">
      <w:pPr>
        <w:keepNext w:val="0"/>
        <w:keepLines w:val="0"/>
        <w:pageBreakBefore w:val="0"/>
        <w:widowControl w:val="0"/>
        <w:kinsoku/>
        <w:wordWrap/>
        <w:overflowPunct/>
        <w:topLinePunct/>
        <w:autoSpaceDE w:val="0"/>
        <w:autoSpaceDN/>
        <w:bidi w:val="0"/>
        <w:adjustRightInd w:val="0"/>
        <w:snapToGrid w:val="0"/>
        <w:spacing w:before="54" w:line="226" w:lineRule="auto"/>
        <w:ind w:left="671"/>
        <w:textAlignment w:val="baseline"/>
        <w:rPr>
          <w:rFonts w:ascii="黑体" w:hAnsi="黑体" w:eastAsia="黑体" w:cs="黑体"/>
          <w:spacing w:val="0"/>
          <w:sz w:val="31"/>
          <w:szCs w:val="31"/>
        </w:rPr>
      </w:pPr>
      <w:r>
        <w:rPr>
          <w:rFonts w:ascii="黑体" w:hAnsi="黑体" w:eastAsia="黑体" w:cs="黑体"/>
          <w:spacing w:val="0"/>
          <w:sz w:val="31"/>
          <w:szCs w:val="31"/>
        </w:rPr>
        <w:t>十三、预算绩效情况说明</w:t>
      </w:r>
    </w:p>
    <w:p w14:paraId="067550B1">
      <w:pPr>
        <w:keepNext w:val="0"/>
        <w:keepLines w:val="0"/>
        <w:pageBreakBefore w:val="0"/>
        <w:widowControl w:val="0"/>
        <w:kinsoku/>
        <w:wordWrap/>
        <w:overflowPunct/>
        <w:topLinePunct/>
        <w:autoSpaceDE w:val="0"/>
        <w:autoSpaceDN/>
        <w:bidi w:val="0"/>
        <w:adjustRightInd w:val="0"/>
        <w:snapToGrid w:val="0"/>
        <w:spacing w:before="139" w:line="220" w:lineRule="auto"/>
        <w:ind w:left="734"/>
        <w:textAlignment w:val="baseline"/>
        <w:rPr>
          <w:rFonts w:ascii="楷体" w:hAnsi="楷体" w:eastAsia="楷体" w:cs="楷体"/>
          <w:spacing w:val="0"/>
          <w:sz w:val="31"/>
          <w:szCs w:val="31"/>
        </w:rPr>
      </w:pPr>
      <w:r>
        <w:rPr>
          <w:rFonts w:ascii="楷体" w:hAnsi="楷体" w:eastAsia="楷体" w:cs="楷体"/>
          <w:spacing w:val="0"/>
          <w:sz w:val="31"/>
          <w:szCs w:val="31"/>
        </w:rPr>
        <w:t>(一)预算绩效管理工作开展情况。</w:t>
      </w:r>
    </w:p>
    <w:p w14:paraId="7BF1D287">
      <w:pPr>
        <w:pStyle w:val="2"/>
        <w:keepNext w:val="0"/>
        <w:keepLines w:val="0"/>
        <w:pageBreakBefore w:val="0"/>
        <w:widowControl w:val="0"/>
        <w:tabs>
          <w:tab w:val="left" w:pos="8620"/>
        </w:tabs>
        <w:kinsoku/>
        <w:wordWrap/>
        <w:overflowPunct/>
        <w:topLinePunct/>
        <w:autoSpaceDE w:val="0"/>
        <w:autoSpaceDN/>
        <w:bidi w:val="0"/>
        <w:adjustRightInd w:val="0"/>
        <w:snapToGrid w:val="0"/>
        <w:spacing w:before="155" w:line="305" w:lineRule="auto"/>
        <w:ind w:left="26" w:right="0" w:rightChars="0" w:firstLine="65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202</w:t>
      </w:r>
      <w:r>
        <w:rPr>
          <w:rFonts w:hint="eastAsia" w:cs="仿宋"/>
          <w:spacing w:val="0"/>
          <w:sz w:val="32"/>
          <w:szCs w:val="32"/>
          <w:lang w:val="en-US" w:eastAsia="zh-CN"/>
        </w:rPr>
        <w:t>3</w:t>
      </w:r>
      <w:r>
        <w:rPr>
          <w:rFonts w:hint="eastAsia" w:ascii="仿宋" w:hAnsi="仿宋" w:eastAsia="仿宋" w:cs="仿宋"/>
          <w:spacing w:val="0"/>
          <w:sz w:val="32"/>
          <w:szCs w:val="32"/>
        </w:rPr>
        <w:t xml:space="preserve">年崇阳县残联项目支出 </w:t>
      </w:r>
      <w:r>
        <w:rPr>
          <w:rFonts w:hint="eastAsia" w:cs="仿宋"/>
          <w:spacing w:val="0"/>
          <w:sz w:val="32"/>
          <w:szCs w:val="32"/>
          <w:lang w:val="en-US" w:eastAsia="zh-CN"/>
        </w:rPr>
        <w:t>1799.38</w:t>
      </w:r>
      <w:r>
        <w:rPr>
          <w:rFonts w:hint="eastAsia" w:ascii="仿宋" w:hAnsi="仿宋" w:eastAsia="仿宋" w:cs="仿宋"/>
          <w:spacing w:val="0"/>
          <w:sz w:val="32"/>
          <w:szCs w:val="32"/>
        </w:rPr>
        <w:t>万元，其中重点项目2个。各项目均按照预算绩效管理工作的要求，开展绩效目标编制与评审、绩效运行监控、绩效评价等工作，并关注项目目标与预算内容、工作计划的一致性，同时结合县政府办公室重点工作任务、资金使用方向，对预算项目绩效目标进行整合、调整、完善，形成了科学合理、高度精炼、重点突出的核心指标体系。</w:t>
      </w:r>
    </w:p>
    <w:p w14:paraId="18978184">
      <w:pPr>
        <w:pStyle w:val="2"/>
        <w:keepNext w:val="0"/>
        <w:keepLines w:val="0"/>
        <w:pageBreakBefore w:val="0"/>
        <w:widowControl w:val="0"/>
        <w:kinsoku/>
        <w:wordWrap/>
        <w:overflowPunct/>
        <w:topLinePunct/>
        <w:autoSpaceDE w:val="0"/>
        <w:autoSpaceDN/>
        <w:bidi w:val="0"/>
        <w:adjustRightInd w:val="0"/>
        <w:snapToGrid w:val="0"/>
        <w:spacing w:before="152" w:line="295" w:lineRule="auto"/>
        <w:ind w:left="27" w:right="0" w:rightChars="0" w:firstLine="640" w:firstLineChars="20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根据预算绩效管理要求，本部门组织对202</w:t>
      </w:r>
      <w:r>
        <w:rPr>
          <w:rFonts w:hint="eastAsia" w:cs="仿宋"/>
          <w:spacing w:val="0"/>
          <w:sz w:val="32"/>
          <w:szCs w:val="32"/>
          <w:lang w:val="en-US" w:eastAsia="zh-CN"/>
        </w:rPr>
        <w:t>3</w:t>
      </w:r>
      <w:r>
        <w:rPr>
          <w:rFonts w:hint="eastAsia" w:ascii="仿宋" w:hAnsi="仿宋" w:eastAsia="仿宋" w:cs="仿宋"/>
          <w:spacing w:val="0"/>
          <w:sz w:val="32"/>
          <w:szCs w:val="32"/>
        </w:rPr>
        <w:t>年度一般 公共预算项目支出全面开展绩效自评，其中重点项目 2个，资金</w:t>
      </w:r>
      <w:r>
        <w:rPr>
          <w:rFonts w:hint="eastAsia" w:cs="仿宋"/>
          <w:color w:val="auto"/>
          <w:spacing w:val="0"/>
          <w:sz w:val="32"/>
          <w:szCs w:val="32"/>
          <w:lang w:val="en-US" w:eastAsia="zh-CN"/>
        </w:rPr>
        <w:t>532.03</w:t>
      </w:r>
      <w:r>
        <w:rPr>
          <w:rFonts w:hint="eastAsia" w:ascii="仿宋" w:hAnsi="仿宋" w:eastAsia="仿宋" w:cs="仿宋"/>
          <w:color w:val="auto"/>
          <w:spacing w:val="0"/>
          <w:sz w:val="32"/>
          <w:szCs w:val="32"/>
        </w:rPr>
        <w:t>万元，占一般公共预算项目支出总额</w:t>
      </w:r>
      <w:r>
        <w:rPr>
          <w:rFonts w:hint="eastAsia" w:cs="仿宋"/>
          <w:color w:val="auto"/>
          <w:spacing w:val="0"/>
          <w:sz w:val="32"/>
          <w:szCs w:val="32"/>
          <w:lang w:eastAsia="zh-CN"/>
        </w:rPr>
        <w:t>的</w:t>
      </w:r>
      <w:r>
        <w:rPr>
          <w:rFonts w:hint="eastAsia" w:cs="仿宋"/>
          <w:color w:val="auto"/>
          <w:spacing w:val="0"/>
          <w:sz w:val="32"/>
          <w:szCs w:val="32"/>
          <w:lang w:val="en-US" w:eastAsia="zh-CN"/>
        </w:rPr>
        <w:t>29.57</w:t>
      </w:r>
      <w:r>
        <w:rPr>
          <w:rFonts w:hint="eastAsia" w:ascii="仿宋" w:hAnsi="仿宋" w:eastAsia="仿宋" w:cs="仿宋"/>
          <w:color w:val="auto"/>
          <w:spacing w:val="0"/>
          <w:sz w:val="32"/>
          <w:szCs w:val="32"/>
        </w:rPr>
        <w:t>％</w:t>
      </w:r>
      <w:r>
        <w:rPr>
          <w:rFonts w:hint="eastAsia" w:cs="仿宋"/>
          <w:color w:val="auto"/>
          <w:spacing w:val="0"/>
          <w:sz w:val="32"/>
          <w:szCs w:val="32"/>
          <w:lang w:val="en-US" w:eastAsia="zh-CN"/>
        </w:rPr>
        <w:t>.</w:t>
      </w:r>
      <w:r>
        <w:rPr>
          <w:rFonts w:hint="eastAsia" w:ascii="仿宋" w:hAnsi="仿宋" w:eastAsia="仿宋" w:cs="仿宋"/>
          <w:color w:val="auto"/>
          <w:spacing w:val="0"/>
          <w:sz w:val="32"/>
          <w:szCs w:val="32"/>
        </w:rPr>
        <w:t>分别</w:t>
      </w:r>
      <w:r>
        <w:rPr>
          <w:rFonts w:hint="eastAsia" w:ascii="仿宋" w:hAnsi="仿宋" w:eastAsia="仿宋" w:cs="仿宋"/>
          <w:spacing w:val="0"/>
          <w:sz w:val="32"/>
          <w:szCs w:val="32"/>
        </w:rPr>
        <w:t>是省级残疾儿童康复救助项目,县级代缴残疾人城乡居民医疗保险项目。我单位对以上重点项目进行预算绩效目标申报审核,追踪监控,绩效评价,评价残联资金的使用的社会效益、群众满意度,优化残联资金资源配置,提高残联资金科学化、精细化管理水平。</w:t>
      </w:r>
    </w:p>
    <w:p w14:paraId="7E3EB1F8">
      <w:pPr>
        <w:pStyle w:val="2"/>
        <w:keepNext w:val="0"/>
        <w:keepLines w:val="0"/>
        <w:pageBreakBefore w:val="0"/>
        <w:widowControl w:val="0"/>
        <w:kinsoku/>
        <w:wordWrap/>
        <w:overflowPunct/>
        <w:topLinePunct/>
        <w:autoSpaceDE w:val="0"/>
        <w:autoSpaceDN/>
        <w:bidi w:val="0"/>
        <w:adjustRightInd w:val="0"/>
        <w:snapToGrid w:val="0"/>
        <w:spacing w:before="47" w:line="293" w:lineRule="auto"/>
        <w:ind w:right="0" w:rightChars="0" w:firstLine="640" w:firstLineChars="20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从评价情况来看，项目资金拨付及时</w:t>
      </w:r>
      <w:r>
        <w:rPr>
          <w:rFonts w:hint="eastAsia" w:cs="仿宋"/>
          <w:spacing w:val="0"/>
          <w:sz w:val="32"/>
          <w:szCs w:val="32"/>
          <w:lang w:eastAsia="zh-CN"/>
        </w:rPr>
        <w:t>，</w:t>
      </w:r>
      <w:r>
        <w:rPr>
          <w:rFonts w:hint="eastAsia" w:ascii="仿宋" w:hAnsi="仿宋" w:eastAsia="仿宋" w:cs="仿宋"/>
          <w:spacing w:val="0"/>
          <w:sz w:val="32"/>
          <w:szCs w:val="32"/>
        </w:rPr>
        <w:t>预算全部执行</w:t>
      </w:r>
      <w:r>
        <w:rPr>
          <w:rFonts w:hint="eastAsia" w:cs="仿宋"/>
          <w:spacing w:val="0"/>
          <w:sz w:val="32"/>
          <w:szCs w:val="32"/>
          <w:lang w:eastAsia="zh-CN"/>
        </w:rPr>
        <w:t>，</w:t>
      </w:r>
      <w:r>
        <w:rPr>
          <w:rFonts w:hint="eastAsia" w:ascii="仿宋" w:hAnsi="仿宋" w:eastAsia="仿宋" w:cs="仿宋"/>
          <w:spacing w:val="0"/>
          <w:sz w:val="32"/>
          <w:szCs w:val="32"/>
        </w:rPr>
        <w:t>项目产出和效果达到预期目标，项目可持续性强。</w:t>
      </w:r>
    </w:p>
    <w:p w14:paraId="4890BB87">
      <w:pPr>
        <w:keepNext w:val="0"/>
        <w:keepLines w:val="0"/>
        <w:pageBreakBefore w:val="0"/>
        <w:widowControl w:val="0"/>
        <w:kinsoku/>
        <w:wordWrap/>
        <w:overflowPunct/>
        <w:topLinePunct/>
        <w:autoSpaceDE w:val="0"/>
        <w:autoSpaceDN/>
        <w:bidi w:val="0"/>
        <w:adjustRightInd w:val="0"/>
        <w:snapToGrid w:val="0"/>
        <w:spacing w:before="57" w:line="220" w:lineRule="auto"/>
        <w:ind w:left="659"/>
        <w:textAlignment w:val="baseline"/>
        <w:rPr>
          <w:rFonts w:ascii="楷体" w:hAnsi="楷体" w:eastAsia="楷体" w:cs="楷体"/>
          <w:spacing w:val="0"/>
          <w:sz w:val="31"/>
          <w:szCs w:val="31"/>
        </w:rPr>
      </w:pPr>
      <w:r>
        <w:rPr>
          <w:rFonts w:ascii="楷体" w:hAnsi="楷体" w:eastAsia="楷体" w:cs="楷体"/>
          <w:spacing w:val="0"/>
          <w:sz w:val="31"/>
          <w:szCs w:val="31"/>
        </w:rPr>
        <w:t>（ 二）部门决算中项目绩效自评结果。</w:t>
      </w:r>
    </w:p>
    <w:p w14:paraId="5E640715">
      <w:pPr>
        <w:pStyle w:val="2"/>
        <w:keepNext w:val="0"/>
        <w:keepLines w:val="0"/>
        <w:pageBreakBefore w:val="0"/>
        <w:widowControl w:val="0"/>
        <w:kinsoku/>
        <w:wordWrap/>
        <w:overflowPunct/>
        <w:topLinePunct/>
        <w:autoSpaceDE w:val="0"/>
        <w:autoSpaceDN/>
        <w:bidi w:val="0"/>
        <w:adjustRightInd w:val="0"/>
        <w:snapToGrid w:val="0"/>
        <w:spacing w:before="153" w:line="305" w:lineRule="auto"/>
        <w:ind w:left="25" w:right="33" w:firstLine="662"/>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1.省级残疾儿童康复救助项目绩效自评综述:项目全年 预算数</w:t>
      </w:r>
      <w:r>
        <w:rPr>
          <w:rFonts w:hint="eastAsia" w:cs="仿宋"/>
          <w:spacing w:val="0"/>
          <w:sz w:val="32"/>
          <w:szCs w:val="32"/>
          <w:lang w:val="en-US" w:eastAsia="zh-CN"/>
        </w:rPr>
        <w:t>215</w:t>
      </w:r>
      <w:r>
        <w:rPr>
          <w:rFonts w:hint="eastAsia" w:ascii="仿宋" w:hAnsi="仿宋" w:eastAsia="仿宋" w:cs="仿宋"/>
          <w:spacing w:val="0"/>
          <w:sz w:val="32"/>
          <w:szCs w:val="32"/>
        </w:rPr>
        <w:t>万元,执行数为</w:t>
      </w:r>
      <w:r>
        <w:rPr>
          <w:rFonts w:hint="eastAsia" w:cs="仿宋"/>
          <w:spacing w:val="0"/>
          <w:sz w:val="32"/>
          <w:szCs w:val="32"/>
          <w:lang w:val="en-US" w:eastAsia="zh-CN"/>
        </w:rPr>
        <w:t>215</w:t>
      </w:r>
      <w:r>
        <w:rPr>
          <w:rFonts w:hint="eastAsia" w:ascii="仿宋" w:hAnsi="仿宋" w:eastAsia="仿宋" w:cs="仿宋"/>
          <w:spacing w:val="0"/>
          <w:sz w:val="32"/>
          <w:szCs w:val="32"/>
        </w:rPr>
        <w:t xml:space="preserve">万元,完成预算100%。主要产出和效益:一是产出指标完成情况分析。全年共有 </w:t>
      </w:r>
      <w:r>
        <w:rPr>
          <w:rFonts w:hint="eastAsia" w:cs="仿宋"/>
          <w:spacing w:val="0"/>
          <w:sz w:val="32"/>
          <w:szCs w:val="32"/>
          <w:lang w:val="en-US" w:eastAsia="zh-CN"/>
        </w:rPr>
        <w:t>301</w:t>
      </w:r>
      <w:r>
        <w:rPr>
          <w:rFonts w:hint="eastAsia" w:ascii="仿宋" w:hAnsi="仿宋" w:eastAsia="仿宋" w:cs="仿宋"/>
          <w:spacing w:val="0"/>
          <w:sz w:val="32"/>
          <w:szCs w:val="32"/>
        </w:rPr>
        <w:t>名0-14岁残疾儿童签订康复协议,实际有</w:t>
      </w:r>
      <w:r>
        <w:rPr>
          <w:rFonts w:hint="eastAsia" w:cs="仿宋"/>
          <w:spacing w:val="0"/>
          <w:sz w:val="32"/>
          <w:szCs w:val="32"/>
          <w:lang w:val="en-US" w:eastAsia="zh-CN"/>
        </w:rPr>
        <w:t>301</w:t>
      </w:r>
      <w:r>
        <w:rPr>
          <w:rFonts w:hint="eastAsia" w:ascii="仿宋" w:hAnsi="仿宋" w:eastAsia="仿宋" w:cs="仿宋"/>
          <w:spacing w:val="0"/>
          <w:sz w:val="32"/>
          <w:szCs w:val="32"/>
        </w:rPr>
        <w:t>名儿童接受了儿童康复服务。二是效益指标完成情况分析。残疾儿童康复救助项目的开展不仅直接帮助了受助残疾儿童,促进其实现生活自理,提高受助儿童参与社会活动的能力,确保残疾儿童的生存权和发展权。更在潜移默化感染社会大众,唤起大众对残 疾预防的关注和对残疾儿童的关爱。</w:t>
      </w:r>
    </w:p>
    <w:p w14:paraId="18552875">
      <w:pPr>
        <w:pStyle w:val="2"/>
        <w:keepNext w:val="0"/>
        <w:keepLines w:val="0"/>
        <w:pageBreakBefore w:val="0"/>
        <w:widowControl w:val="0"/>
        <w:kinsoku/>
        <w:wordWrap/>
        <w:overflowPunct/>
        <w:topLinePunct/>
        <w:autoSpaceDE w:val="0"/>
        <w:autoSpaceDN/>
        <w:bidi w:val="0"/>
        <w:adjustRightInd w:val="0"/>
        <w:snapToGrid w:val="0"/>
        <w:spacing w:before="66" w:line="308" w:lineRule="auto"/>
        <w:ind w:left="27" w:firstLine="652"/>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2.县级代缴残疾人城乡居民医疗保险项目绩效自评综述: 项目全年预算数为</w:t>
      </w:r>
      <w:r>
        <w:rPr>
          <w:rFonts w:hint="eastAsia" w:cs="仿宋"/>
          <w:spacing w:val="0"/>
          <w:sz w:val="32"/>
          <w:szCs w:val="32"/>
          <w:lang w:val="en-US" w:eastAsia="zh-CN"/>
        </w:rPr>
        <w:t>317.03</w:t>
      </w:r>
      <w:r>
        <w:rPr>
          <w:rFonts w:hint="eastAsia" w:ascii="仿宋" w:hAnsi="仿宋" w:eastAsia="仿宋" w:cs="仿宋"/>
          <w:spacing w:val="0"/>
          <w:sz w:val="32"/>
          <w:szCs w:val="32"/>
        </w:rPr>
        <w:t>万元,执行数为</w:t>
      </w:r>
      <w:r>
        <w:rPr>
          <w:rFonts w:hint="eastAsia" w:cs="仿宋"/>
          <w:spacing w:val="0"/>
          <w:sz w:val="32"/>
          <w:szCs w:val="32"/>
          <w:lang w:val="en-US" w:eastAsia="zh-CN"/>
        </w:rPr>
        <w:t>317.03</w:t>
      </w:r>
      <w:r>
        <w:rPr>
          <w:rFonts w:hint="eastAsia" w:ascii="仿宋" w:hAnsi="仿宋" w:eastAsia="仿宋" w:cs="仿宋"/>
          <w:spacing w:val="0"/>
          <w:sz w:val="32"/>
          <w:szCs w:val="32"/>
        </w:rPr>
        <w:t>万元,完成预算</w:t>
      </w:r>
      <w:r>
        <w:rPr>
          <w:rFonts w:hint="eastAsia" w:cs="仿宋"/>
          <w:spacing w:val="0"/>
          <w:sz w:val="32"/>
          <w:szCs w:val="32"/>
          <w:lang w:val="en-US" w:eastAsia="zh-CN"/>
        </w:rPr>
        <w:t>100%</w:t>
      </w:r>
      <w:r>
        <w:rPr>
          <w:rFonts w:hint="eastAsia" w:ascii="仿宋" w:hAnsi="仿宋" w:eastAsia="仿宋" w:cs="仿宋"/>
          <w:spacing w:val="0"/>
          <w:sz w:val="32"/>
          <w:szCs w:val="32"/>
        </w:rPr>
        <w:t>。主要产出和效益:为符合条件的</w:t>
      </w:r>
      <w:r>
        <w:rPr>
          <w:rFonts w:hint="eastAsia" w:ascii="仿宋_GB2312" w:hAnsi="仿宋_GB2312" w:eastAsia="仿宋_GB2312" w:cs="仿宋_GB2312"/>
          <w:i w:val="0"/>
          <w:caps w:val="0"/>
          <w:color w:val="333333"/>
          <w:spacing w:val="0"/>
          <w:kern w:val="0"/>
          <w:sz w:val="31"/>
          <w:szCs w:val="31"/>
          <w:shd w:val="clear" w:color="auto" w:fill="FFFFFF"/>
          <w:lang w:val="en-US" w:eastAsia="zh-CN" w:bidi="ar"/>
        </w:rPr>
        <w:t>9058名</w:t>
      </w:r>
      <w:r>
        <w:rPr>
          <w:rFonts w:hint="eastAsia" w:ascii="仿宋" w:hAnsi="仿宋" w:eastAsia="仿宋" w:cs="仿宋"/>
          <w:spacing w:val="0"/>
          <w:sz w:val="32"/>
          <w:szCs w:val="32"/>
        </w:rPr>
        <w:t>残疾人</w:t>
      </w:r>
      <w:r>
        <w:rPr>
          <w:rFonts w:hint="eastAsia" w:cs="仿宋"/>
          <w:spacing w:val="0"/>
          <w:sz w:val="32"/>
          <w:szCs w:val="32"/>
          <w:lang w:eastAsia="zh-CN"/>
        </w:rPr>
        <w:t>全额</w:t>
      </w:r>
      <w:r>
        <w:rPr>
          <w:rFonts w:hint="eastAsia" w:ascii="仿宋" w:hAnsi="仿宋" w:eastAsia="仿宋" w:cs="仿宋"/>
          <w:spacing w:val="0"/>
          <w:sz w:val="32"/>
          <w:szCs w:val="32"/>
        </w:rPr>
        <w:t>购买医疗保险,实现人人享有基本生活保障、人人享有基本医疗保障的目标,对符合条件的残疾人做到应保尽保,逐渐完善残疾人的社会保障体系。受助残疾人满意度达到100%。</w:t>
      </w:r>
    </w:p>
    <w:p w14:paraId="51B3C2F1">
      <w:pPr>
        <w:pStyle w:val="2"/>
        <w:keepNext w:val="0"/>
        <w:keepLines w:val="0"/>
        <w:pageBreakBefore w:val="0"/>
        <w:widowControl w:val="0"/>
        <w:kinsoku/>
        <w:wordWrap/>
        <w:overflowPunct/>
        <w:topLinePunct/>
        <w:autoSpaceDE w:val="0"/>
        <w:autoSpaceDN/>
        <w:bidi w:val="0"/>
        <w:adjustRightInd w:val="0"/>
        <w:snapToGrid w:val="0"/>
        <w:spacing w:before="19" w:line="224" w:lineRule="auto"/>
        <w:ind w:left="659"/>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 三）绩效评价结果应用情况。</w:t>
      </w:r>
    </w:p>
    <w:p w14:paraId="5FEB87A5">
      <w:pPr>
        <w:pStyle w:val="2"/>
        <w:keepNext w:val="0"/>
        <w:keepLines w:val="0"/>
        <w:pageBreakBefore w:val="0"/>
        <w:widowControl w:val="0"/>
        <w:kinsoku/>
        <w:wordWrap/>
        <w:overflowPunct/>
        <w:topLinePunct/>
        <w:autoSpaceDE w:val="0"/>
        <w:autoSpaceDN/>
        <w:bidi w:val="0"/>
        <w:adjustRightInd w:val="0"/>
        <w:snapToGrid w:val="0"/>
        <w:spacing w:before="140" w:line="302" w:lineRule="auto"/>
        <w:ind w:left="26" w:right="33" w:firstLine="64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部门绩效评价结果应用情况。至部门决算公开时已经应 用的情况：本着实事求是的原则，按照绩效目标管理要求，结合项目预算内容和绩效指标完成情况，对整体和项目绩效指标进行了优化调整。</w:t>
      </w:r>
    </w:p>
    <w:p w14:paraId="50934F9F">
      <w:pPr>
        <w:pStyle w:val="2"/>
        <w:keepNext w:val="0"/>
        <w:keepLines w:val="0"/>
        <w:pageBreakBefore w:val="0"/>
        <w:widowControl w:val="0"/>
        <w:kinsoku/>
        <w:wordWrap/>
        <w:overflowPunct/>
        <w:topLinePunct/>
        <w:autoSpaceDE w:val="0"/>
        <w:autoSpaceDN/>
        <w:bidi w:val="0"/>
        <w:adjustRightInd w:val="0"/>
        <w:snapToGrid w:val="0"/>
        <w:spacing w:before="149" w:line="301" w:lineRule="auto"/>
        <w:ind w:left="0" w:leftChars="0" w:right="16" w:firstLine="624" w:firstLineChars="195"/>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部门绩效评价结果拟应用情况。至部门决算公开时还未应用但拟应用的情况:加强项目规划、绩效目标管理、完善项 目分配办法和管理办法、加强项目管理、结果与预算安排相结合。</w:t>
      </w:r>
    </w:p>
    <w:p w14:paraId="65144A40">
      <w:pPr>
        <w:keepNext w:val="0"/>
        <w:keepLines w:val="0"/>
        <w:pageBreakBefore w:val="0"/>
        <w:widowControl w:val="0"/>
        <w:kinsoku/>
        <w:wordWrap/>
        <w:overflowPunct/>
        <w:topLinePunct/>
        <w:autoSpaceDE w:val="0"/>
        <w:autoSpaceDN/>
        <w:bidi w:val="0"/>
        <w:adjustRightInd w:val="0"/>
        <w:snapToGrid w:val="0"/>
        <w:spacing w:before="45" w:line="227" w:lineRule="auto"/>
        <w:ind w:left="671"/>
        <w:textAlignment w:val="baseline"/>
        <w:rPr>
          <w:rFonts w:ascii="黑体" w:hAnsi="黑体" w:eastAsia="黑体" w:cs="黑体"/>
          <w:spacing w:val="0"/>
          <w:sz w:val="31"/>
          <w:szCs w:val="31"/>
        </w:rPr>
      </w:pPr>
      <w:r>
        <w:rPr>
          <w:rFonts w:ascii="黑体" w:hAnsi="黑体" w:eastAsia="黑体" w:cs="黑体"/>
          <w:spacing w:val="0"/>
          <w:sz w:val="31"/>
          <w:szCs w:val="31"/>
        </w:rPr>
        <w:t>十四、财政专项支出、专项转移支付支出的部门</w:t>
      </w:r>
    </w:p>
    <w:p w14:paraId="10FE23A2">
      <w:pPr>
        <w:pStyle w:val="2"/>
        <w:keepNext w:val="0"/>
        <w:keepLines w:val="0"/>
        <w:pageBreakBefore w:val="0"/>
        <w:widowControl w:val="0"/>
        <w:kinsoku/>
        <w:wordWrap/>
        <w:overflowPunct/>
        <w:topLinePunct/>
        <w:autoSpaceDE w:val="0"/>
        <w:autoSpaceDN/>
        <w:bidi w:val="0"/>
        <w:adjustRightInd w:val="0"/>
        <w:snapToGrid w:val="0"/>
        <w:spacing w:before="139" w:line="296" w:lineRule="auto"/>
        <w:ind w:left="67" w:right="16" w:firstLine="52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崇阳县残联202</w:t>
      </w:r>
      <w:r>
        <w:rPr>
          <w:rFonts w:hint="eastAsia" w:cs="仿宋"/>
          <w:spacing w:val="0"/>
          <w:sz w:val="32"/>
          <w:szCs w:val="32"/>
          <w:lang w:val="en-US" w:eastAsia="zh-CN"/>
        </w:rPr>
        <w:t>3</w:t>
      </w:r>
      <w:r>
        <w:rPr>
          <w:rFonts w:hint="eastAsia" w:ascii="仿宋" w:hAnsi="仿宋" w:eastAsia="仿宋" w:cs="仿宋"/>
          <w:spacing w:val="0"/>
          <w:sz w:val="32"/>
          <w:szCs w:val="32"/>
        </w:rPr>
        <w:t>年度转移支付支出</w:t>
      </w:r>
      <w:r>
        <w:rPr>
          <w:rFonts w:hint="eastAsia" w:cs="仿宋"/>
          <w:spacing w:val="0"/>
          <w:sz w:val="32"/>
          <w:szCs w:val="32"/>
          <w:lang w:val="en-US" w:eastAsia="zh-CN"/>
        </w:rPr>
        <w:t>529</w:t>
      </w:r>
      <w:r>
        <w:rPr>
          <w:rFonts w:hint="eastAsia" w:ascii="仿宋" w:hAnsi="仿宋" w:eastAsia="仿宋" w:cs="仿宋"/>
          <w:spacing w:val="0"/>
          <w:sz w:val="32"/>
          <w:szCs w:val="32"/>
        </w:rPr>
        <w:t>万元，无专项支出，转移支付支出主要用于：</w:t>
      </w:r>
    </w:p>
    <w:p w14:paraId="40C32E71">
      <w:pPr>
        <w:pStyle w:val="2"/>
        <w:keepNext w:val="0"/>
        <w:keepLines w:val="0"/>
        <w:pageBreakBefore w:val="0"/>
        <w:widowControl w:val="0"/>
        <w:kinsoku/>
        <w:wordWrap/>
        <w:overflowPunct/>
        <w:topLinePunct/>
        <w:autoSpaceDE w:val="0"/>
        <w:autoSpaceDN/>
        <w:bidi w:val="0"/>
        <w:adjustRightInd w:val="0"/>
        <w:snapToGrid w:val="0"/>
        <w:spacing w:before="43" w:line="301" w:lineRule="auto"/>
        <w:ind w:left="27" w:right="16" w:firstLine="580"/>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1.中央残疾人事业发展资金</w:t>
      </w:r>
      <w:r>
        <w:rPr>
          <w:rFonts w:hint="eastAsia" w:cs="仿宋"/>
          <w:spacing w:val="0"/>
          <w:sz w:val="32"/>
          <w:szCs w:val="32"/>
          <w:lang w:val="en-US" w:eastAsia="zh-CN"/>
        </w:rPr>
        <w:t>92</w:t>
      </w:r>
      <w:r>
        <w:rPr>
          <w:rFonts w:hint="eastAsia" w:ascii="仿宋" w:hAnsi="仿宋" w:eastAsia="仿宋" w:cs="仿宋"/>
          <w:spacing w:val="0"/>
          <w:sz w:val="32"/>
          <w:szCs w:val="32"/>
        </w:rPr>
        <w:t>万，主要用于开展残疾人事业，具体用于残疾人康复、</w:t>
      </w:r>
      <w:r>
        <w:rPr>
          <w:rFonts w:hint="eastAsia" w:cs="仿宋"/>
          <w:spacing w:val="0"/>
          <w:sz w:val="32"/>
          <w:szCs w:val="32"/>
          <w:lang w:eastAsia="zh-CN"/>
        </w:rPr>
        <w:t>残疾人文化</w:t>
      </w:r>
      <w:r>
        <w:rPr>
          <w:rFonts w:hint="eastAsia" w:ascii="仿宋" w:hAnsi="仿宋" w:eastAsia="仿宋" w:cs="仿宋"/>
          <w:spacing w:val="0"/>
          <w:sz w:val="32"/>
          <w:szCs w:val="32"/>
        </w:rPr>
        <w:t>、残疾人托养、残疾人实用技术培训等。</w:t>
      </w:r>
    </w:p>
    <w:p w14:paraId="4F6F883C">
      <w:pPr>
        <w:pStyle w:val="2"/>
        <w:keepNext w:val="0"/>
        <w:keepLines w:val="0"/>
        <w:pageBreakBefore w:val="0"/>
        <w:widowControl w:val="0"/>
        <w:kinsoku/>
        <w:wordWrap/>
        <w:overflowPunct/>
        <w:topLinePunct/>
        <w:autoSpaceDE w:val="0"/>
        <w:autoSpaceDN/>
        <w:bidi w:val="0"/>
        <w:adjustRightInd w:val="0"/>
        <w:snapToGrid w:val="0"/>
        <w:spacing w:before="42" w:line="303" w:lineRule="auto"/>
        <w:ind w:left="27" w:right="13" w:firstLine="572"/>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2.省级残疾人事业发展资金</w:t>
      </w:r>
      <w:r>
        <w:rPr>
          <w:rFonts w:hint="eastAsia" w:cs="仿宋"/>
          <w:spacing w:val="0"/>
          <w:sz w:val="32"/>
          <w:szCs w:val="32"/>
          <w:lang w:val="en-US" w:eastAsia="zh-CN"/>
        </w:rPr>
        <w:t>227</w:t>
      </w:r>
      <w:r>
        <w:rPr>
          <w:rFonts w:hint="eastAsia" w:ascii="仿宋" w:hAnsi="仿宋" w:eastAsia="仿宋" w:cs="仿宋"/>
          <w:spacing w:val="0"/>
          <w:sz w:val="32"/>
          <w:szCs w:val="32"/>
        </w:rPr>
        <w:t>万，主要用于残疾人康复、残疾人辅具适配、残疾人托养、残疾人创业扶持、残疾人技术能手、残疾人家庭无障碍改造、残疾人电商培训等方面支出。</w:t>
      </w:r>
    </w:p>
    <w:p w14:paraId="053EABC4">
      <w:pPr>
        <w:pStyle w:val="2"/>
        <w:keepNext w:val="0"/>
        <w:keepLines w:val="0"/>
        <w:pageBreakBefore w:val="0"/>
        <w:widowControl w:val="0"/>
        <w:kinsoku/>
        <w:wordWrap/>
        <w:overflowPunct/>
        <w:topLinePunct/>
        <w:autoSpaceDE w:val="0"/>
        <w:autoSpaceDN/>
        <w:bidi w:val="0"/>
        <w:adjustRightInd w:val="0"/>
        <w:snapToGrid w:val="0"/>
        <w:spacing w:before="48" w:line="296" w:lineRule="auto"/>
        <w:ind w:left="35" w:right="85" w:firstLine="55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 xml:space="preserve">3.省级残疾儿童康复资金 </w:t>
      </w:r>
      <w:r>
        <w:rPr>
          <w:rFonts w:hint="eastAsia" w:cs="仿宋"/>
          <w:spacing w:val="0"/>
          <w:sz w:val="32"/>
          <w:szCs w:val="32"/>
          <w:lang w:val="en-US" w:eastAsia="zh-CN"/>
        </w:rPr>
        <w:t>210</w:t>
      </w:r>
      <w:r>
        <w:rPr>
          <w:rFonts w:hint="eastAsia" w:ascii="仿宋" w:hAnsi="仿宋" w:eastAsia="仿宋" w:cs="仿宋"/>
          <w:spacing w:val="0"/>
          <w:sz w:val="32"/>
          <w:szCs w:val="32"/>
        </w:rPr>
        <w:t>万，主要用于残疾儿童康复、残疾儿童康复家庭生活补助救助。</w:t>
      </w:r>
    </w:p>
    <w:p w14:paraId="5D1DD67E">
      <w:pPr>
        <w:keepNext w:val="0"/>
        <w:keepLines w:val="0"/>
        <w:pageBreakBefore w:val="0"/>
        <w:widowControl w:val="0"/>
        <w:kinsoku/>
        <w:wordWrap/>
        <w:overflowPunct/>
        <w:topLinePunct/>
        <w:autoSpaceDE w:val="0"/>
        <w:autoSpaceDN/>
        <w:bidi w:val="0"/>
        <w:adjustRightInd w:val="0"/>
        <w:snapToGrid w:val="0"/>
        <w:spacing w:line="295" w:lineRule="auto"/>
        <w:textAlignment w:val="baseline"/>
        <w:rPr>
          <w:rFonts w:hint="eastAsia" w:ascii="仿宋" w:hAnsi="仿宋" w:eastAsia="仿宋" w:cs="仿宋"/>
          <w:spacing w:val="0"/>
          <w:sz w:val="32"/>
          <w:szCs w:val="32"/>
        </w:rPr>
      </w:pPr>
    </w:p>
    <w:p w14:paraId="65812AFA">
      <w:pPr>
        <w:keepNext w:val="0"/>
        <w:keepLines w:val="0"/>
        <w:pageBreakBefore w:val="0"/>
        <w:widowControl w:val="0"/>
        <w:kinsoku/>
        <w:wordWrap/>
        <w:overflowPunct/>
        <w:topLinePunct/>
        <w:autoSpaceDE w:val="0"/>
        <w:autoSpaceDN/>
        <w:bidi w:val="0"/>
        <w:adjustRightInd w:val="0"/>
        <w:snapToGrid w:val="0"/>
        <w:spacing w:before="46" w:line="226" w:lineRule="auto"/>
        <w:ind w:left="667"/>
        <w:textAlignment w:val="baseline"/>
        <w:rPr>
          <w:rFonts w:ascii="黑体" w:hAnsi="黑体" w:eastAsia="黑体" w:cs="黑体"/>
          <w:spacing w:val="0"/>
          <w:sz w:val="31"/>
          <w:szCs w:val="31"/>
        </w:rPr>
      </w:pPr>
      <w:r>
        <w:rPr>
          <w:rFonts w:hint="eastAsia" w:ascii="仿宋" w:hAnsi="仿宋" w:eastAsia="仿宋" w:cs="仿宋"/>
          <w:spacing w:val="0"/>
          <w:sz w:val="32"/>
          <w:szCs w:val="32"/>
          <w:lang w:val="en-US" w:eastAsia="zh-CN"/>
        </w:rPr>
        <w:t xml:space="preserve">  </w:t>
      </w:r>
      <w:r>
        <w:rPr>
          <w:rFonts w:ascii="黑体" w:hAnsi="黑体" w:eastAsia="黑体" w:cs="黑体"/>
          <w:b/>
          <w:bCs/>
          <w:spacing w:val="0"/>
          <w:sz w:val="31"/>
          <w:szCs w:val="31"/>
        </w:rPr>
        <w:t>第四部分</w:t>
      </w:r>
      <w:r>
        <w:rPr>
          <w:rFonts w:ascii="黑体" w:hAnsi="黑体" w:eastAsia="黑体" w:cs="黑体"/>
          <w:spacing w:val="0"/>
          <w:sz w:val="31"/>
          <w:szCs w:val="31"/>
        </w:rPr>
        <w:t xml:space="preserve">  其他需要说明的情况</w:t>
      </w:r>
    </w:p>
    <w:p w14:paraId="642B26AF">
      <w:pPr>
        <w:pStyle w:val="2"/>
        <w:keepNext w:val="0"/>
        <w:keepLines w:val="0"/>
        <w:pageBreakBefore w:val="0"/>
        <w:widowControl w:val="0"/>
        <w:kinsoku/>
        <w:wordWrap/>
        <w:overflowPunct/>
        <w:topLinePunct/>
        <w:autoSpaceDE w:val="0"/>
        <w:autoSpaceDN/>
        <w:bidi w:val="0"/>
        <w:adjustRightInd w:val="0"/>
        <w:snapToGrid w:val="0"/>
        <w:spacing w:before="140" w:line="297" w:lineRule="auto"/>
        <w:ind w:left="667" w:right="136" w:rightChars="0" w:firstLine="5"/>
        <w:textAlignment w:val="baseline"/>
        <w:rPr>
          <w:spacing w:val="0"/>
        </w:rPr>
      </w:pPr>
      <w:r>
        <w:rPr>
          <w:rFonts w:hint="eastAsia" w:ascii="仿宋" w:hAnsi="仿宋" w:eastAsia="仿宋" w:cs="仿宋"/>
          <w:spacing w:val="0"/>
          <w:sz w:val="32"/>
          <w:szCs w:val="32"/>
        </w:rPr>
        <w:t>崇阳县残联部门202</w:t>
      </w:r>
      <w:r>
        <w:rPr>
          <w:rFonts w:hint="eastAsia" w:cs="仿宋"/>
          <w:spacing w:val="0"/>
          <w:sz w:val="32"/>
          <w:szCs w:val="32"/>
          <w:lang w:val="en-US" w:eastAsia="zh-CN"/>
        </w:rPr>
        <w:t>3</w:t>
      </w:r>
      <w:r>
        <w:rPr>
          <w:rFonts w:hint="eastAsia" w:ascii="仿宋" w:hAnsi="仿宋" w:eastAsia="仿宋" w:cs="仿宋"/>
          <w:spacing w:val="0"/>
          <w:sz w:val="32"/>
          <w:szCs w:val="32"/>
        </w:rPr>
        <w:t>年度无举借政府债务情况。</w:t>
      </w:r>
      <w:r>
        <w:rPr>
          <w:spacing w:val="0"/>
        </w:rPr>
        <w:t xml:space="preserve"> </w:t>
      </w:r>
    </w:p>
    <w:p w14:paraId="3442703E">
      <w:pPr>
        <w:pStyle w:val="2"/>
        <w:keepNext w:val="0"/>
        <w:keepLines w:val="0"/>
        <w:pageBreakBefore w:val="0"/>
        <w:widowControl w:val="0"/>
        <w:kinsoku/>
        <w:wordWrap/>
        <w:overflowPunct/>
        <w:topLinePunct/>
        <w:autoSpaceDE w:val="0"/>
        <w:autoSpaceDN/>
        <w:bidi w:val="0"/>
        <w:adjustRightInd w:val="0"/>
        <w:snapToGrid w:val="0"/>
        <w:spacing w:before="140" w:line="297" w:lineRule="auto"/>
        <w:ind w:left="667" w:right="136" w:rightChars="0" w:firstLine="5"/>
        <w:textAlignment w:val="baseline"/>
        <w:rPr>
          <w:rFonts w:ascii="黑体" w:hAnsi="黑体" w:eastAsia="黑体" w:cs="黑体"/>
          <w:spacing w:val="0"/>
        </w:rPr>
      </w:pPr>
      <w:r>
        <w:rPr>
          <w:rFonts w:ascii="黑体" w:hAnsi="黑体" w:eastAsia="黑体" w:cs="黑体"/>
          <w:spacing w:val="0"/>
        </w:rPr>
        <w:t>第五部分  名词解释</w:t>
      </w:r>
    </w:p>
    <w:p w14:paraId="4C1A00DD">
      <w:pPr>
        <w:pStyle w:val="2"/>
        <w:keepNext w:val="0"/>
        <w:keepLines w:val="0"/>
        <w:pageBreakBefore w:val="0"/>
        <w:widowControl w:val="0"/>
        <w:kinsoku/>
        <w:wordWrap/>
        <w:overflowPunct/>
        <w:topLinePunct/>
        <w:autoSpaceDE w:val="0"/>
        <w:autoSpaceDN/>
        <w:bidi w:val="0"/>
        <w:adjustRightInd w:val="0"/>
        <w:snapToGrid w:val="0"/>
        <w:spacing w:before="42" w:line="267" w:lineRule="auto"/>
        <w:ind w:left="38" w:right="16" w:firstLine="69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(一)一般公共预算财政拨款收入：指市级财政一般公共预算当年拨付的资金。</w:t>
      </w:r>
    </w:p>
    <w:p w14:paraId="26183D85">
      <w:pPr>
        <w:pStyle w:val="2"/>
        <w:keepNext w:val="0"/>
        <w:keepLines w:val="0"/>
        <w:pageBreakBefore w:val="0"/>
        <w:widowControl w:val="0"/>
        <w:kinsoku/>
        <w:wordWrap/>
        <w:overflowPunct/>
        <w:topLinePunct/>
        <w:autoSpaceDE w:val="0"/>
        <w:autoSpaceDN/>
        <w:bidi w:val="0"/>
        <w:adjustRightInd w:val="0"/>
        <w:snapToGrid w:val="0"/>
        <w:spacing w:before="145" w:line="266" w:lineRule="auto"/>
        <w:ind w:left="21" w:right="16" w:firstLine="71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(二)政府性基金预算财政拨款收入：指市级财政政府性基金预算当年拨付的资金。</w:t>
      </w:r>
    </w:p>
    <w:p w14:paraId="2463A6E4">
      <w:pPr>
        <w:pStyle w:val="2"/>
        <w:keepNext w:val="0"/>
        <w:keepLines w:val="0"/>
        <w:pageBreakBefore w:val="0"/>
        <w:widowControl w:val="0"/>
        <w:kinsoku/>
        <w:wordWrap/>
        <w:overflowPunct/>
        <w:topLinePunct/>
        <w:autoSpaceDE w:val="0"/>
        <w:autoSpaceDN/>
        <w:bidi w:val="0"/>
        <w:adjustRightInd w:val="0"/>
        <w:snapToGrid w:val="0"/>
        <w:spacing w:before="145" w:line="267" w:lineRule="auto"/>
        <w:ind w:left="40" w:right="16" w:firstLine="69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(三)国有资本经营预算财政拨款收入：指市级财政国有资本经营预算当年拨付的资金。</w:t>
      </w:r>
    </w:p>
    <w:p w14:paraId="6C0411B7">
      <w:pPr>
        <w:pStyle w:val="2"/>
        <w:keepNext w:val="0"/>
        <w:keepLines w:val="0"/>
        <w:pageBreakBefore w:val="0"/>
        <w:widowControl w:val="0"/>
        <w:kinsoku/>
        <w:wordWrap/>
        <w:overflowPunct/>
        <w:topLinePunct/>
        <w:autoSpaceDE w:val="0"/>
        <w:autoSpaceDN/>
        <w:bidi w:val="0"/>
        <w:adjustRightInd w:val="0"/>
        <w:snapToGrid w:val="0"/>
        <w:spacing w:before="145" w:line="267" w:lineRule="auto"/>
        <w:ind w:left="30" w:right="16" w:firstLine="70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(四)上级补助收入：指从事业单位主管部门和上级单位取得的非财政补助收入。</w:t>
      </w:r>
    </w:p>
    <w:p w14:paraId="63B64A2C">
      <w:pPr>
        <w:pStyle w:val="2"/>
        <w:keepNext w:val="0"/>
        <w:keepLines w:val="0"/>
        <w:pageBreakBefore w:val="0"/>
        <w:widowControl w:val="0"/>
        <w:kinsoku/>
        <w:wordWrap/>
        <w:overflowPunct/>
        <w:topLinePunct/>
        <w:autoSpaceDE w:val="0"/>
        <w:autoSpaceDN/>
        <w:bidi w:val="0"/>
        <w:adjustRightInd w:val="0"/>
        <w:snapToGrid w:val="0"/>
        <w:spacing w:before="150" w:line="268" w:lineRule="auto"/>
        <w:ind w:left="31" w:right="16" w:firstLine="70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(五)事业收入：指事业单位开展专业业务活动及其辅助活动取得的收入。</w:t>
      </w:r>
    </w:p>
    <w:p w14:paraId="48D182EC">
      <w:pPr>
        <w:pStyle w:val="2"/>
        <w:keepNext w:val="0"/>
        <w:keepLines w:val="0"/>
        <w:pageBreakBefore w:val="0"/>
        <w:widowControl w:val="0"/>
        <w:kinsoku/>
        <w:wordWrap/>
        <w:overflowPunct/>
        <w:topLinePunct/>
        <w:autoSpaceDE w:val="0"/>
        <w:autoSpaceDN/>
        <w:bidi w:val="0"/>
        <w:adjustRightInd w:val="0"/>
        <w:snapToGrid w:val="0"/>
        <w:spacing w:before="142" w:line="266" w:lineRule="auto"/>
        <w:ind w:left="27" w:right="16" w:firstLine="706"/>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(六)经营收入：指事业单位在专业业务活动及其辅助活动之外开展非独立核算经营活动取得的收入。</w:t>
      </w:r>
    </w:p>
    <w:p w14:paraId="1FAC7501">
      <w:pPr>
        <w:pStyle w:val="2"/>
        <w:keepNext w:val="0"/>
        <w:keepLines w:val="0"/>
        <w:pageBreakBefore w:val="0"/>
        <w:widowControl w:val="0"/>
        <w:kinsoku/>
        <w:wordWrap/>
        <w:overflowPunct/>
        <w:topLinePunct/>
        <w:autoSpaceDE w:val="0"/>
        <w:autoSpaceDN/>
        <w:bidi w:val="0"/>
        <w:adjustRightInd w:val="0"/>
        <w:snapToGrid w:val="0"/>
        <w:spacing w:before="143" w:line="289" w:lineRule="auto"/>
        <w:ind w:left="32" w:right="13" w:firstLine="701"/>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(七)其他收入：指单位取得的除上述 “一般公共预算财政拨款收入”、“政府性基金预算财政拨款收入”、“ 国有资本经营预算财政拨款收入”、“上级补助收入”、“事业收入” 、“经营收入”等收入以外的各项收入。</w:t>
      </w:r>
    </w:p>
    <w:p w14:paraId="16CD681D">
      <w:pPr>
        <w:pStyle w:val="2"/>
        <w:keepNext w:val="0"/>
        <w:keepLines w:val="0"/>
        <w:pageBreakBefore w:val="0"/>
        <w:widowControl w:val="0"/>
        <w:kinsoku/>
        <w:wordWrap/>
        <w:overflowPunct/>
        <w:topLinePunct/>
        <w:autoSpaceDE w:val="0"/>
        <w:autoSpaceDN/>
        <w:bidi w:val="0"/>
        <w:adjustRightInd w:val="0"/>
        <w:snapToGrid w:val="0"/>
        <w:spacing w:before="143" w:line="266" w:lineRule="auto"/>
        <w:ind w:left="38" w:right="16" w:firstLine="69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(八)使用非财政拨款结余：指事业单位使用以前年度积累的非财政拨款结余弥补当年收支差额的金额。</w:t>
      </w:r>
    </w:p>
    <w:p w14:paraId="1F587C3D">
      <w:pPr>
        <w:pStyle w:val="2"/>
        <w:keepNext w:val="0"/>
        <w:keepLines w:val="0"/>
        <w:pageBreakBefore w:val="0"/>
        <w:widowControl w:val="0"/>
        <w:kinsoku/>
        <w:wordWrap/>
        <w:overflowPunct/>
        <w:topLinePunct/>
        <w:autoSpaceDE w:val="0"/>
        <w:autoSpaceDN/>
        <w:bidi w:val="0"/>
        <w:adjustRightInd w:val="0"/>
        <w:snapToGrid w:val="0"/>
        <w:spacing w:before="144" w:line="300" w:lineRule="auto"/>
        <w:ind w:left="29" w:right="16" w:firstLine="70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(九)年初结转和结余：指单位以前年度尚未完成、结转到本年仍按原规定用途继续使用的资金，或项目已完成等产生的结余资金。</w:t>
      </w:r>
    </w:p>
    <w:p w14:paraId="503F5177">
      <w:pPr>
        <w:pStyle w:val="2"/>
        <w:keepNext w:val="0"/>
        <w:keepLines w:val="0"/>
        <w:pageBreakBefore w:val="0"/>
        <w:widowControl w:val="0"/>
        <w:kinsoku/>
        <w:wordWrap/>
        <w:overflowPunct/>
        <w:topLinePunct/>
        <w:autoSpaceDE w:val="0"/>
        <w:autoSpaceDN/>
        <w:bidi w:val="0"/>
        <w:adjustRightInd w:val="0"/>
        <w:snapToGrid w:val="0"/>
        <w:spacing w:before="49" w:line="223" w:lineRule="auto"/>
        <w:ind w:left="73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(十)本部门使用的支出功能分类科目(到项级)</w:t>
      </w:r>
    </w:p>
    <w:p w14:paraId="28FB1B37">
      <w:pPr>
        <w:pStyle w:val="2"/>
        <w:keepNext w:val="0"/>
        <w:keepLines w:val="0"/>
        <w:pageBreakBefore w:val="0"/>
        <w:widowControl w:val="0"/>
        <w:kinsoku/>
        <w:wordWrap/>
        <w:overflowPunct/>
        <w:topLinePunct/>
        <w:autoSpaceDE w:val="0"/>
        <w:autoSpaceDN/>
        <w:bidi w:val="0"/>
        <w:adjustRightInd w:val="0"/>
        <w:snapToGrid w:val="0"/>
        <w:spacing w:before="147" w:line="294" w:lineRule="auto"/>
        <w:ind w:left="27" w:right="15" w:firstLine="659"/>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1.一般公共服务支出（类）其他一般公共服务支出(款) 其他一般公共服务支出(项)。</w:t>
      </w:r>
    </w:p>
    <w:p w14:paraId="4D987C9C">
      <w:pPr>
        <w:pStyle w:val="2"/>
        <w:keepNext w:val="0"/>
        <w:keepLines w:val="0"/>
        <w:pageBreakBefore w:val="0"/>
        <w:widowControl w:val="0"/>
        <w:kinsoku/>
        <w:wordWrap/>
        <w:overflowPunct/>
        <w:topLinePunct/>
        <w:autoSpaceDE w:val="0"/>
        <w:autoSpaceDN/>
        <w:bidi w:val="0"/>
        <w:adjustRightInd w:val="0"/>
        <w:snapToGrid w:val="0"/>
        <w:spacing w:before="50" w:line="223" w:lineRule="auto"/>
        <w:ind w:left="679"/>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2.社会保障和就业(类)残疾人事业(款)行政运行(项)。</w:t>
      </w:r>
    </w:p>
    <w:p w14:paraId="606936B1">
      <w:pPr>
        <w:pStyle w:val="2"/>
        <w:keepNext w:val="0"/>
        <w:keepLines w:val="0"/>
        <w:pageBreakBefore w:val="0"/>
        <w:widowControl w:val="0"/>
        <w:kinsoku/>
        <w:wordWrap/>
        <w:overflowPunct/>
        <w:topLinePunct/>
        <w:autoSpaceDE w:val="0"/>
        <w:autoSpaceDN/>
        <w:bidi w:val="0"/>
        <w:adjustRightInd w:val="0"/>
        <w:snapToGrid w:val="0"/>
        <w:spacing w:before="148" w:line="294" w:lineRule="auto"/>
        <w:ind w:left="29" w:right="54" w:firstLine="639"/>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3.社会保障和就业(类)残疾人事业(款)一般行政管理事 务(项)。</w:t>
      </w:r>
    </w:p>
    <w:p w14:paraId="78598B8C">
      <w:pPr>
        <w:pStyle w:val="2"/>
        <w:keepNext w:val="0"/>
        <w:keepLines w:val="0"/>
        <w:pageBreakBefore w:val="0"/>
        <w:widowControl w:val="0"/>
        <w:kinsoku/>
        <w:wordWrap/>
        <w:overflowPunct/>
        <w:topLinePunct/>
        <w:autoSpaceDE w:val="0"/>
        <w:autoSpaceDN/>
        <w:bidi w:val="0"/>
        <w:adjustRightInd w:val="0"/>
        <w:snapToGrid w:val="0"/>
        <w:spacing w:before="50" w:line="299" w:lineRule="auto"/>
        <w:ind w:left="18" w:right="13" w:firstLine="64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4.社会保障和就业支出（类）行政事业单位养老支出  （款）机关事业单位基本养老保险缴费支出（项）：反映机 关事业单位实施养老保险制度由单位缴纳的基本养老保险</w:t>
      </w:r>
    </w:p>
    <w:p w14:paraId="54F70101">
      <w:pPr>
        <w:pStyle w:val="2"/>
        <w:keepNext w:val="0"/>
        <w:keepLines w:val="0"/>
        <w:pageBreakBefore w:val="0"/>
        <w:widowControl w:val="0"/>
        <w:kinsoku/>
        <w:wordWrap/>
        <w:overflowPunct/>
        <w:topLinePunct/>
        <w:autoSpaceDE w:val="0"/>
        <w:autoSpaceDN/>
        <w:bidi w:val="0"/>
        <w:adjustRightInd w:val="0"/>
        <w:snapToGrid w:val="0"/>
        <w:spacing w:before="56" w:line="224" w:lineRule="auto"/>
        <w:ind w:left="47"/>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费支出。</w:t>
      </w:r>
    </w:p>
    <w:p w14:paraId="0DAD3194">
      <w:pPr>
        <w:pStyle w:val="2"/>
        <w:keepNext w:val="0"/>
        <w:keepLines w:val="0"/>
        <w:pageBreakBefore w:val="0"/>
        <w:widowControl w:val="0"/>
        <w:kinsoku/>
        <w:wordWrap/>
        <w:overflowPunct/>
        <w:topLinePunct/>
        <w:autoSpaceDE w:val="0"/>
        <w:autoSpaceDN/>
        <w:bidi w:val="0"/>
        <w:adjustRightInd w:val="0"/>
        <w:snapToGrid w:val="0"/>
        <w:spacing w:before="144" w:line="294" w:lineRule="auto"/>
        <w:ind w:left="93" w:right="13" w:firstLine="57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5. 社会保障和就业 (类)残疾人事业 (款)残疾人康复 (项)。</w:t>
      </w:r>
    </w:p>
    <w:p w14:paraId="56253F89">
      <w:pPr>
        <w:pStyle w:val="2"/>
        <w:keepNext w:val="0"/>
        <w:keepLines w:val="0"/>
        <w:pageBreakBefore w:val="0"/>
        <w:widowControl w:val="0"/>
        <w:tabs>
          <w:tab w:val="left" w:pos="8400"/>
        </w:tabs>
        <w:kinsoku/>
        <w:wordWrap/>
        <w:overflowPunct/>
        <w:topLinePunct/>
        <w:autoSpaceDE w:val="0"/>
        <w:autoSpaceDN/>
        <w:bidi w:val="0"/>
        <w:adjustRightInd w:val="0"/>
        <w:snapToGrid w:val="0"/>
        <w:spacing w:before="150" w:line="296" w:lineRule="auto"/>
        <w:ind w:left="93" w:right="0" w:rightChars="0" w:firstLine="57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6.</w:t>
      </w:r>
      <w:r>
        <w:rPr>
          <w:rFonts w:hint="eastAsia" w:ascii="仿宋" w:hAnsi="仿宋" w:eastAsia="仿宋" w:cs="仿宋"/>
          <w:spacing w:val="-11"/>
          <w:sz w:val="32"/>
          <w:szCs w:val="32"/>
        </w:rPr>
        <w:t>社会保障和就业(类)残疾人事业(款)残疾人</w:t>
      </w:r>
      <w:r>
        <w:rPr>
          <w:rFonts w:hint="eastAsia" w:cs="仿宋"/>
          <w:spacing w:val="-11"/>
          <w:sz w:val="32"/>
          <w:szCs w:val="32"/>
          <w:lang w:eastAsia="zh-CN"/>
        </w:rPr>
        <w:t>就</w:t>
      </w:r>
      <w:r>
        <w:rPr>
          <w:rFonts w:hint="eastAsia" w:ascii="仿宋" w:hAnsi="仿宋" w:eastAsia="仿宋" w:cs="仿宋"/>
          <w:spacing w:val="-11"/>
          <w:sz w:val="32"/>
          <w:szCs w:val="32"/>
        </w:rPr>
        <w:t>业(项)</w:t>
      </w:r>
      <w:r>
        <w:rPr>
          <w:rFonts w:hint="eastAsia" w:ascii="仿宋" w:hAnsi="仿宋" w:eastAsia="仿宋" w:cs="仿宋"/>
          <w:spacing w:val="0"/>
          <w:sz w:val="32"/>
          <w:szCs w:val="32"/>
        </w:rPr>
        <w:t>。</w:t>
      </w:r>
    </w:p>
    <w:p w14:paraId="70B423CA">
      <w:pPr>
        <w:pStyle w:val="2"/>
        <w:keepNext w:val="0"/>
        <w:keepLines w:val="0"/>
        <w:pageBreakBefore w:val="0"/>
        <w:widowControl w:val="0"/>
        <w:kinsoku/>
        <w:wordWrap/>
        <w:overflowPunct/>
        <w:topLinePunct/>
        <w:autoSpaceDE w:val="0"/>
        <w:autoSpaceDN/>
        <w:bidi w:val="0"/>
        <w:adjustRightInd w:val="0"/>
        <w:snapToGrid w:val="0"/>
        <w:spacing w:before="101" w:line="296" w:lineRule="auto"/>
        <w:ind w:left="34" w:right="71" w:firstLine="63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7.社会保障和就业(类)残疾人事业(款)其他残疾人事业支出 (项)。</w:t>
      </w:r>
    </w:p>
    <w:p w14:paraId="08BA3DD5">
      <w:pPr>
        <w:pStyle w:val="2"/>
        <w:keepNext w:val="0"/>
        <w:keepLines w:val="0"/>
        <w:pageBreakBefore w:val="0"/>
        <w:widowControl w:val="0"/>
        <w:kinsoku/>
        <w:wordWrap/>
        <w:overflowPunct/>
        <w:topLinePunct/>
        <w:autoSpaceDE w:val="0"/>
        <w:autoSpaceDN/>
        <w:bidi w:val="0"/>
        <w:adjustRightInd w:val="0"/>
        <w:snapToGrid w:val="0"/>
        <w:spacing w:before="49" w:line="294" w:lineRule="auto"/>
        <w:ind w:left="36" w:right="71" w:firstLine="631"/>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8.卫生健康支出(类)公共卫生(款)突发公共卫生事件应急处理(项)。</w:t>
      </w:r>
    </w:p>
    <w:p w14:paraId="0717A3E3">
      <w:pPr>
        <w:pStyle w:val="2"/>
        <w:keepNext w:val="0"/>
        <w:keepLines w:val="0"/>
        <w:pageBreakBefore w:val="0"/>
        <w:widowControl w:val="0"/>
        <w:kinsoku/>
        <w:wordWrap/>
        <w:overflowPunct/>
        <w:topLinePunct/>
        <w:autoSpaceDE w:val="0"/>
        <w:autoSpaceDN/>
        <w:bidi w:val="0"/>
        <w:adjustRightInd w:val="0"/>
        <w:snapToGrid w:val="0"/>
        <w:spacing w:before="47" w:line="303" w:lineRule="auto"/>
        <w:ind w:left="21" w:right="71" w:firstLine="66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9. 卫生健康支出（类）行政事业单位医疗（款）事业单位医疗（项）：反映财政部门安排的事业单位基本医疗保险 缴费经费，未参加医疗保险的事业单位的公费医疗经费，按 国家规定享受离休人员待遇的医疗经费。</w:t>
      </w:r>
    </w:p>
    <w:p w14:paraId="57FD3F18">
      <w:pPr>
        <w:pStyle w:val="2"/>
        <w:keepNext w:val="0"/>
        <w:keepLines w:val="0"/>
        <w:pageBreakBefore w:val="0"/>
        <w:widowControl w:val="0"/>
        <w:kinsoku/>
        <w:wordWrap/>
        <w:overflowPunct/>
        <w:topLinePunct/>
        <w:autoSpaceDE w:val="0"/>
        <w:autoSpaceDN/>
        <w:bidi w:val="0"/>
        <w:adjustRightInd w:val="0"/>
        <w:snapToGrid w:val="0"/>
        <w:spacing w:before="50" w:line="299" w:lineRule="auto"/>
        <w:ind w:left="18" w:right="71" w:firstLine="668"/>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10.住房保障支出（类）住房改革支出（款）住房公积金（项）：反映行政事业单位按人力资源和社会保障部、财政部规定的基本工资和津贴补贴以及规定比例为职工缴纳的住房公积金。</w:t>
      </w:r>
    </w:p>
    <w:p w14:paraId="6D4C78D7">
      <w:pPr>
        <w:pStyle w:val="2"/>
        <w:keepNext w:val="0"/>
        <w:keepLines w:val="0"/>
        <w:pageBreakBefore w:val="0"/>
        <w:widowControl w:val="0"/>
        <w:kinsoku/>
        <w:wordWrap/>
        <w:overflowPunct/>
        <w:topLinePunct/>
        <w:autoSpaceDE w:val="0"/>
        <w:autoSpaceDN/>
        <w:bidi w:val="0"/>
        <w:adjustRightInd w:val="0"/>
        <w:snapToGrid w:val="0"/>
        <w:spacing w:before="136" w:line="301" w:lineRule="auto"/>
        <w:ind w:left="23" w:firstLine="663"/>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11.住房保障支出（类）住房改革支出（款）提租补贴（项</w:t>
      </w:r>
      <w:r>
        <w:rPr>
          <w:rFonts w:hint="eastAsia" w:ascii="仿宋" w:hAnsi="仿宋" w:eastAsia="仿宋" w:cs="仿宋"/>
          <w:spacing w:val="0"/>
          <w:w w:val="91"/>
          <w:sz w:val="32"/>
          <w:szCs w:val="32"/>
        </w:rPr>
        <w:t>）：</w:t>
      </w:r>
      <w:r>
        <w:rPr>
          <w:rFonts w:hint="eastAsia" w:ascii="仿宋" w:hAnsi="仿宋" w:eastAsia="仿宋" w:cs="仿宋"/>
          <w:spacing w:val="0"/>
          <w:sz w:val="32"/>
          <w:szCs w:val="32"/>
        </w:rPr>
        <w:t>反映按房改政策规定的标准，行政事业单位向职工（含离退休人员）发放的租金补贴。</w:t>
      </w:r>
    </w:p>
    <w:p w14:paraId="74E38666">
      <w:pPr>
        <w:pStyle w:val="2"/>
        <w:keepNext w:val="0"/>
        <w:keepLines w:val="0"/>
        <w:pageBreakBefore w:val="0"/>
        <w:widowControl w:val="0"/>
        <w:kinsoku/>
        <w:wordWrap/>
        <w:overflowPunct/>
        <w:topLinePunct/>
        <w:autoSpaceDE w:val="0"/>
        <w:autoSpaceDN/>
        <w:bidi w:val="0"/>
        <w:adjustRightInd w:val="0"/>
        <w:snapToGrid w:val="0"/>
        <w:spacing w:before="44" w:line="301" w:lineRule="auto"/>
        <w:ind w:left="29" w:right="71" w:firstLine="863"/>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(十一)结余分配：指事业单位按照会计制度规定缴纳 的企业所得税、提取的专用结余以及转入非财政拨款结余的 金额等。</w:t>
      </w:r>
    </w:p>
    <w:p w14:paraId="0B78D404">
      <w:pPr>
        <w:pStyle w:val="2"/>
        <w:keepNext w:val="0"/>
        <w:keepLines w:val="0"/>
        <w:pageBreakBefore w:val="0"/>
        <w:widowControl w:val="0"/>
        <w:kinsoku/>
        <w:wordWrap/>
        <w:overflowPunct/>
        <w:topLinePunct/>
        <w:autoSpaceDE w:val="0"/>
        <w:autoSpaceDN/>
        <w:bidi w:val="0"/>
        <w:adjustRightInd w:val="0"/>
        <w:snapToGrid w:val="0"/>
        <w:spacing w:before="45" w:line="303" w:lineRule="auto"/>
        <w:ind w:left="29" w:right="71" w:firstLine="705"/>
        <w:jc w:val="both"/>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(十二)年末结转和结余：指单位按有关规定结转到下年或以后年度继续使用的资金，或项目已完成等产生的结余资 金。</w:t>
      </w:r>
    </w:p>
    <w:p w14:paraId="67CF4C4B">
      <w:pPr>
        <w:pStyle w:val="2"/>
        <w:keepNext w:val="0"/>
        <w:keepLines w:val="0"/>
        <w:pageBreakBefore w:val="0"/>
        <w:widowControl w:val="0"/>
        <w:kinsoku/>
        <w:wordWrap/>
        <w:overflowPunct/>
        <w:topLinePunct/>
        <w:autoSpaceDE w:val="0"/>
        <w:autoSpaceDN/>
        <w:bidi w:val="0"/>
        <w:adjustRightInd w:val="0"/>
        <w:snapToGrid w:val="0"/>
        <w:spacing w:before="152" w:line="295" w:lineRule="auto"/>
        <w:ind w:left="29" w:right="83" w:firstLine="70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(十三)基本支出：指为保障机构正常运转、完成日常工 作任务而发生的人员支出和公用支出。</w:t>
      </w:r>
    </w:p>
    <w:p w14:paraId="3C7D8744">
      <w:pPr>
        <w:pStyle w:val="2"/>
        <w:keepNext w:val="0"/>
        <w:keepLines w:val="0"/>
        <w:pageBreakBefore w:val="0"/>
        <w:widowControl w:val="0"/>
        <w:kinsoku/>
        <w:wordWrap/>
        <w:overflowPunct/>
        <w:topLinePunct/>
        <w:autoSpaceDE w:val="0"/>
        <w:autoSpaceDN/>
        <w:bidi w:val="0"/>
        <w:adjustRightInd w:val="0"/>
        <w:snapToGrid w:val="0"/>
        <w:spacing w:before="152" w:line="295" w:lineRule="auto"/>
        <w:ind w:left="29" w:right="83" w:firstLine="705"/>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(十四)项目支出：指在基本支出之外为完成特定行政任务或事业发展目标所发生的支出。</w:t>
      </w:r>
    </w:p>
    <w:p w14:paraId="1DADF1A0">
      <w:pPr>
        <w:pStyle w:val="2"/>
        <w:keepNext w:val="0"/>
        <w:keepLines w:val="0"/>
        <w:pageBreakBefore w:val="0"/>
        <w:widowControl w:val="0"/>
        <w:kinsoku/>
        <w:wordWrap/>
        <w:overflowPunct/>
        <w:topLinePunct/>
        <w:autoSpaceDE w:val="0"/>
        <w:autoSpaceDN/>
        <w:bidi w:val="0"/>
        <w:adjustRightInd w:val="0"/>
        <w:snapToGrid w:val="0"/>
        <w:spacing w:before="50" w:line="293" w:lineRule="auto"/>
        <w:ind w:left="32" w:right="83" w:firstLine="701"/>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(十五)经营支出：指事业单位在专业活动及辅助活动之外开展非独立核算经营活动发生的支出。</w:t>
      </w:r>
    </w:p>
    <w:p w14:paraId="676F0C3E">
      <w:pPr>
        <w:pStyle w:val="2"/>
        <w:keepNext w:val="0"/>
        <w:keepLines w:val="0"/>
        <w:pageBreakBefore w:val="0"/>
        <w:widowControl w:val="0"/>
        <w:kinsoku/>
        <w:wordWrap/>
        <w:overflowPunct/>
        <w:topLinePunct/>
        <w:autoSpaceDE w:val="0"/>
        <w:autoSpaceDN/>
        <w:bidi w:val="0"/>
        <w:adjustRightInd w:val="0"/>
        <w:snapToGrid w:val="0"/>
        <w:spacing w:before="60" w:line="306" w:lineRule="auto"/>
        <w:ind w:left="23" w:firstLine="71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六)“三公”经费：纳入财政一般公共预算管理的“三公”经费，是指市直部门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 置税、牌照费)及燃料费、维修费、过桥过路费、保险费、安全奖励费用等支出；公务接待费反映单位按规定开支的各类公务接待(含外宾接待)费用。</w:t>
      </w:r>
    </w:p>
    <w:p w14:paraId="17082580">
      <w:pPr>
        <w:pStyle w:val="2"/>
        <w:keepNext w:val="0"/>
        <w:keepLines w:val="0"/>
        <w:pageBreakBefore w:val="0"/>
        <w:widowControl w:val="0"/>
        <w:kinsoku/>
        <w:wordWrap/>
        <w:overflowPunct/>
        <w:topLinePunct/>
        <w:autoSpaceDE w:val="0"/>
        <w:autoSpaceDN/>
        <w:bidi w:val="0"/>
        <w:adjustRightInd w:val="0"/>
        <w:snapToGrid w:val="0"/>
        <w:spacing w:before="52" w:line="304" w:lineRule="auto"/>
        <w:ind w:left="26" w:right="83" w:firstLine="708"/>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(十七)机关运行经费：指为保障行政单位（包括参照公 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38E489F6">
      <w:pPr>
        <w:pStyle w:val="2"/>
        <w:keepNext w:val="0"/>
        <w:keepLines w:val="0"/>
        <w:pageBreakBefore w:val="0"/>
        <w:widowControl w:val="0"/>
        <w:kinsoku/>
        <w:wordWrap/>
        <w:overflowPunct/>
        <w:topLinePunct/>
        <w:autoSpaceDE w:val="0"/>
        <w:autoSpaceDN/>
        <w:bidi w:val="0"/>
        <w:adjustRightInd w:val="0"/>
        <w:snapToGrid w:val="0"/>
        <w:spacing w:before="54" w:line="225" w:lineRule="auto"/>
        <w:ind w:left="73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(十八)其他专用名词。</w:t>
      </w:r>
    </w:p>
    <w:p w14:paraId="5BF3CD0C">
      <w:pPr>
        <w:pStyle w:val="2"/>
        <w:keepNext w:val="0"/>
        <w:keepLines w:val="0"/>
        <w:pageBreakBefore w:val="0"/>
        <w:widowControl w:val="0"/>
        <w:kinsoku/>
        <w:wordWrap/>
        <w:overflowPunct/>
        <w:topLinePunct/>
        <w:autoSpaceDE w:val="0"/>
        <w:autoSpaceDN/>
        <w:bidi w:val="0"/>
        <w:adjustRightInd w:val="0"/>
        <w:snapToGrid w:val="0"/>
        <w:spacing w:before="144" w:line="225" w:lineRule="auto"/>
        <w:ind w:left="677"/>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无</w:t>
      </w:r>
    </w:p>
    <w:p w14:paraId="64027541">
      <w:pPr>
        <w:keepNext w:val="0"/>
        <w:keepLines w:val="0"/>
        <w:pageBreakBefore w:val="0"/>
        <w:widowControl w:val="0"/>
        <w:kinsoku/>
        <w:wordWrap/>
        <w:overflowPunct/>
        <w:topLinePunct/>
        <w:autoSpaceDE w:val="0"/>
        <w:autoSpaceDN/>
        <w:bidi w:val="0"/>
        <w:adjustRightInd w:val="0"/>
        <w:snapToGrid w:val="0"/>
        <w:spacing w:line="225" w:lineRule="auto"/>
        <w:textAlignment w:val="baseline"/>
        <w:rPr>
          <w:rFonts w:hint="eastAsia" w:ascii="仿宋" w:hAnsi="仿宋" w:eastAsia="仿宋" w:cs="仿宋"/>
          <w:spacing w:val="0"/>
          <w:sz w:val="32"/>
          <w:szCs w:val="32"/>
        </w:rPr>
      </w:pPr>
    </w:p>
    <w:p w14:paraId="6D02E1B3">
      <w:pPr>
        <w:keepNext w:val="0"/>
        <w:keepLines w:val="0"/>
        <w:pageBreakBefore w:val="0"/>
        <w:widowControl w:val="0"/>
        <w:kinsoku/>
        <w:wordWrap/>
        <w:overflowPunct/>
        <w:topLinePunct/>
        <w:autoSpaceDE w:val="0"/>
        <w:autoSpaceDN/>
        <w:bidi w:val="0"/>
        <w:adjustRightInd w:val="0"/>
        <w:snapToGrid w:val="0"/>
        <w:spacing w:before="150" w:line="227" w:lineRule="auto"/>
        <w:ind w:left="667"/>
        <w:textAlignment w:val="baseline"/>
        <w:rPr>
          <w:rFonts w:ascii="黑体" w:hAnsi="黑体" w:eastAsia="黑体" w:cs="黑体"/>
          <w:spacing w:val="0"/>
          <w:sz w:val="31"/>
          <w:szCs w:val="31"/>
        </w:rPr>
      </w:pPr>
      <w:r>
        <w:rPr>
          <w:rFonts w:ascii="黑体" w:hAnsi="黑体" w:eastAsia="黑体" w:cs="黑体"/>
          <w:b/>
          <w:bCs/>
          <w:spacing w:val="0"/>
          <w:sz w:val="31"/>
          <w:szCs w:val="31"/>
        </w:rPr>
        <w:t>第六部分</w:t>
      </w:r>
      <w:r>
        <w:rPr>
          <w:rFonts w:ascii="黑体" w:hAnsi="黑体" w:eastAsia="黑体" w:cs="黑体"/>
          <w:spacing w:val="0"/>
          <w:sz w:val="31"/>
          <w:szCs w:val="31"/>
        </w:rPr>
        <w:t xml:space="preserve">  </w:t>
      </w:r>
      <w:r>
        <w:rPr>
          <w:rFonts w:ascii="黑体" w:hAnsi="黑体" w:eastAsia="黑体" w:cs="黑体"/>
          <w:b/>
          <w:bCs/>
          <w:spacing w:val="0"/>
          <w:sz w:val="31"/>
          <w:szCs w:val="31"/>
        </w:rPr>
        <w:t>附件</w:t>
      </w:r>
    </w:p>
    <w:p w14:paraId="359B4C28">
      <w:pPr>
        <w:pStyle w:val="2"/>
        <w:keepNext w:val="0"/>
        <w:keepLines w:val="0"/>
        <w:pageBreakBefore w:val="0"/>
        <w:widowControl w:val="0"/>
        <w:kinsoku/>
        <w:wordWrap/>
        <w:overflowPunct/>
        <w:topLinePunct/>
        <w:autoSpaceDE w:val="0"/>
        <w:autoSpaceDN/>
        <w:bidi w:val="0"/>
        <w:adjustRightInd w:val="0"/>
        <w:snapToGrid w:val="0"/>
        <w:spacing w:before="284" w:line="223" w:lineRule="auto"/>
        <w:ind w:left="95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202</w:t>
      </w:r>
      <w:r>
        <w:rPr>
          <w:rFonts w:hint="eastAsia" w:cs="仿宋"/>
          <w:spacing w:val="0"/>
          <w:sz w:val="32"/>
          <w:szCs w:val="32"/>
          <w:lang w:val="en-US" w:eastAsia="zh-CN"/>
        </w:rPr>
        <w:t>3</w:t>
      </w:r>
      <w:r>
        <w:rPr>
          <w:rFonts w:hint="eastAsia" w:ascii="仿宋" w:hAnsi="仿宋" w:eastAsia="仿宋" w:cs="仿宋"/>
          <w:spacing w:val="0"/>
          <w:sz w:val="32"/>
          <w:szCs w:val="32"/>
        </w:rPr>
        <w:t>年度崇阳县残联部门整体绩效自评结果</w:t>
      </w:r>
    </w:p>
    <w:p w14:paraId="7026C924">
      <w:pPr>
        <w:keepNext w:val="0"/>
        <w:keepLines w:val="0"/>
        <w:pageBreakBefore w:val="0"/>
        <w:widowControl w:val="0"/>
        <w:kinsoku/>
        <w:wordWrap/>
        <w:overflowPunct/>
        <w:topLinePunct/>
        <w:autoSpaceDE w:val="0"/>
        <w:autoSpaceDN/>
        <w:bidi w:val="0"/>
        <w:adjustRightInd w:val="0"/>
        <w:snapToGrid w:val="0"/>
        <w:spacing w:before="224" w:line="227" w:lineRule="auto"/>
        <w:ind w:left="672"/>
        <w:textAlignment w:val="baseline"/>
        <w:outlineLvl w:val="2"/>
        <w:rPr>
          <w:rFonts w:ascii="黑体" w:hAnsi="黑体" w:eastAsia="黑体" w:cs="黑体"/>
          <w:spacing w:val="0"/>
          <w:sz w:val="31"/>
          <w:szCs w:val="31"/>
        </w:rPr>
      </w:pPr>
      <w:r>
        <w:rPr>
          <w:rFonts w:ascii="黑体" w:hAnsi="黑体" w:eastAsia="黑体" w:cs="黑体"/>
          <w:spacing w:val="0"/>
          <w:sz w:val="31"/>
          <w:szCs w:val="31"/>
        </w:rPr>
        <w:t>一、自评结论</w:t>
      </w:r>
    </w:p>
    <w:p w14:paraId="424BF5A8">
      <w:pPr>
        <w:keepNext w:val="0"/>
        <w:keepLines w:val="0"/>
        <w:pageBreakBefore w:val="0"/>
        <w:kinsoku/>
        <w:wordWrap/>
        <w:overflowPunct/>
        <w:topLinePunct/>
        <w:autoSpaceDE w:val="0"/>
        <w:autoSpaceDN/>
        <w:bidi w:val="0"/>
        <w:spacing w:before="0" w:beforeLines="50" w:line="520" w:lineRule="exact"/>
        <w:ind w:firstLine="640" w:firstLineChars="200"/>
        <w:rPr>
          <w:rFonts w:ascii="楷体_GB2312" w:hAnsi="楷体" w:eastAsia="楷体_GB2312" w:cs="Times New Roman"/>
          <w:sz w:val="32"/>
          <w:szCs w:val="32"/>
        </w:rPr>
      </w:pPr>
      <w:r>
        <w:rPr>
          <w:rFonts w:hint="eastAsia" w:ascii="楷体_GB2312" w:hAnsi="楷体" w:eastAsia="楷体_GB2312" w:cs="楷体_GB2312"/>
          <w:sz w:val="32"/>
          <w:szCs w:val="32"/>
        </w:rPr>
        <w:t>（一）部门整体绩效自评得分</w:t>
      </w:r>
    </w:p>
    <w:p w14:paraId="3D1828A3">
      <w:pPr>
        <w:pStyle w:val="7"/>
        <w:keepNext w:val="0"/>
        <w:keepLines w:val="0"/>
        <w:pageBreakBefore w:val="0"/>
        <w:widowControl/>
        <w:shd w:val="clear" w:color="auto" w:fill="FFFFFF"/>
        <w:kinsoku/>
        <w:wordWrap/>
        <w:overflowPunct/>
        <w:topLinePunct/>
        <w:autoSpaceDE w:val="0"/>
        <w:autoSpaceDN/>
        <w:bidi w:val="0"/>
        <w:adjustRightInd/>
        <w:snapToGrid/>
        <w:spacing w:before="0" w:beforeLines="50" w:beforeAutospacing="0" w:after="0" w:afterAutospacing="0" w:line="520" w:lineRule="exact"/>
        <w:ind w:firstLine="640" w:firstLineChars="200"/>
        <w:jc w:val="both"/>
        <w:textAlignment w:val="auto"/>
        <w:rPr>
          <w:rFonts w:hint="eastAsia" w:ascii="仿宋_GB2312" w:eastAsia="仿宋_GB2312"/>
          <w:kern w:val="2"/>
          <w:sz w:val="32"/>
          <w:szCs w:val="32"/>
        </w:rPr>
      </w:pPr>
      <w:r>
        <w:rPr>
          <w:rFonts w:hint="eastAsia" w:ascii="仿宋_GB2312" w:eastAsia="仿宋_GB2312"/>
          <w:kern w:val="2"/>
          <w:sz w:val="32"/>
          <w:szCs w:val="32"/>
        </w:rPr>
        <w:t>202</w:t>
      </w:r>
      <w:r>
        <w:rPr>
          <w:rFonts w:hint="eastAsia" w:ascii="仿宋_GB2312" w:eastAsia="仿宋_GB2312"/>
          <w:kern w:val="2"/>
          <w:sz w:val="32"/>
          <w:szCs w:val="32"/>
          <w:lang w:val="en-US" w:eastAsia="zh-CN"/>
        </w:rPr>
        <w:t>3</w:t>
      </w:r>
      <w:r>
        <w:rPr>
          <w:rFonts w:hint="eastAsia" w:ascii="仿宋_GB2312" w:eastAsia="仿宋_GB2312"/>
          <w:kern w:val="2"/>
          <w:sz w:val="32"/>
          <w:szCs w:val="32"/>
        </w:rPr>
        <w:t>年，根据年初工作规划和重点性工作，围绕县委、县政府全面发展蓝图，积极履职，强化管理，较好的完成了年度工作目标。</w:t>
      </w:r>
    </w:p>
    <w:p w14:paraId="1FD24E69">
      <w:pPr>
        <w:pStyle w:val="7"/>
        <w:keepNext w:val="0"/>
        <w:keepLines w:val="0"/>
        <w:pageBreakBefore w:val="0"/>
        <w:widowControl/>
        <w:shd w:val="clear" w:color="auto" w:fill="FFFFFF"/>
        <w:kinsoku/>
        <w:wordWrap/>
        <w:overflowPunct/>
        <w:topLinePunct/>
        <w:autoSpaceDE w:val="0"/>
        <w:autoSpaceDN/>
        <w:bidi w:val="0"/>
        <w:adjustRightInd/>
        <w:snapToGrid/>
        <w:spacing w:before="0" w:beforeLines="50" w:beforeAutospacing="0" w:after="0" w:afterAutospacing="0" w:line="520" w:lineRule="exact"/>
        <w:ind w:firstLine="640" w:firstLineChars="200"/>
        <w:jc w:val="both"/>
        <w:textAlignment w:val="auto"/>
        <w:rPr>
          <w:rFonts w:hint="eastAsia" w:ascii="楷体_GB2312" w:hAnsi="楷体" w:eastAsia="楷体_GB2312" w:cs="楷体_GB2312"/>
          <w:sz w:val="32"/>
          <w:szCs w:val="32"/>
        </w:rPr>
      </w:pPr>
      <w:r>
        <w:rPr>
          <w:rFonts w:hint="eastAsia" w:ascii="仿宋_GB2312" w:eastAsia="仿宋_GB2312"/>
          <w:kern w:val="2"/>
          <w:sz w:val="32"/>
          <w:szCs w:val="32"/>
          <w:lang w:val="en-US" w:eastAsia="zh-CN"/>
        </w:rPr>
        <w:t>崇阳县残联2023年预算1486.3万元，实际支出</w:t>
      </w:r>
      <w:r>
        <w:rPr>
          <w:rFonts w:hint="eastAsia" w:ascii="仿宋_GB2312" w:hAnsi="仿宋" w:eastAsia="仿宋_GB2312" w:cs="Times New Roman"/>
          <w:sz w:val="32"/>
          <w:szCs w:val="32"/>
          <w:lang w:val="en-US" w:eastAsia="zh-CN"/>
        </w:rPr>
        <w:t>2036.48万元。</w:t>
      </w:r>
      <w:r>
        <w:rPr>
          <w:rFonts w:hint="eastAsia" w:ascii="仿宋_GB2312" w:eastAsia="仿宋_GB2312"/>
          <w:kern w:val="2"/>
          <w:sz w:val="32"/>
          <w:szCs w:val="32"/>
        </w:rPr>
        <w:t>经绩效分析，我会202</w:t>
      </w:r>
      <w:r>
        <w:rPr>
          <w:rFonts w:hint="eastAsia" w:ascii="仿宋_GB2312" w:eastAsia="仿宋_GB2312"/>
          <w:kern w:val="2"/>
          <w:sz w:val="32"/>
          <w:szCs w:val="32"/>
          <w:lang w:val="en-US" w:eastAsia="zh-CN"/>
        </w:rPr>
        <w:t>3</w:t>
      </w:r>
      <w:r>
        <w:rPr>
          <w:rFonts w:hint="eastAsia" w:ascii="仿宋_GB2312" w:eastAsia="仿宋_GB2312"/>
          <w:kern w:val="2"/>
          <w:sz w:val="32"/>
          <w:szCs w:val="32"/>
        </w:rPr>
        <w:t>年整体支出绩效自评</w:t>
      </w:r>
      <w:r>
        <w:rPr>
          <w:rFonts w:hint="eastAsia" w:ascii="仿宋_GB2312" w:eastAsia="仿宋_GB2312"/>
          <w:kern w:val="2"/>
          <w:sz w:val="32"/>
          <w:szCs w:val="32"/>
          <w:lang w:val="en-US" w:eastAsia="zh-CN"/>
        </w:rPr>
        <w:t>85</w:t>
      </w:r>
      <w:r>
        <w:rPr>
          <w:rFonts w:hint="eastAsia" w:ascii="仿宋_GB2312" w:eastAsia="仿宋_GB2312"/>
          <w:kern w:val="2"/>
          <w:sz w:val="32"/>
          <w:szCs w:val="32"/>
        </w:rPr>
        <w:t>分。</w:t>
      </w:r>
    </w:p>
    <w:p w14:paraId="78ECD6E9">
      <w:pPr>
        <w:keepNext w:val="0"/>
        <w:keepLines w:val="0"/>
        <w:pageBreakBefore w:val="0"/>
        <w:kinsoku/>
        <w:wordWrap/>
        <w:overflowPunct/>
        <w:topLinePunct/>
        <w:autoSpaceDE w:val="0"/>
        <w:autoSpaceDN/>
        <w:bidi w:val="0"/>
        <w:spacing w:before="0" w:beforeLines="50" w:line="520" w:lineRule="exact"/>
        <w:ind w:firstLine="640" w:firstLineChars="200"/>
        <w:rPr>
          <w:rFonts w:ascii="楷体_GB2312" w:hAnsi="楷体" w:eastAsia="楷体_GB2312" w:cs="Times New Roman"/>
          <w:sz w:val="32"/>
          <w:szCs w:val="32"/>
        </w:rPr>
      </w:pPr>
      <w:r>
        <w:rPr>
          <w:rFonts w:hint="eastAsia" w:ascii="楷体_GB2312" w:hAnsi="楷体" w:eastAsia="楷体_GB2312" w:cs="楷体_GB2312"/>
          <w:sz w:val="32"/>
          <w:szCs w:val="32"/>
        </w:rPr>
        <w:t>（二）部门整体绩效目标完成情况</w:t>
      </w:r>
    </w:p>
    <w:p w14:paraId="0D85F7A1">
      <w:pPr>
        <w:keepNext w:val="0"/>
        <w:keepLines w:val="0"/>
        <w:pageBreakBefore w:val="0"/>
        <w:kinsoku/>
        <w:wordWrap/>
        <w:overflowPunct/>
        <w:topLinePunct/>
        <w:autoSpaceDE w:val="0"/>
        <w:autoSpaceDN/>
        <w:bidi w:val="0"/>
        <w:spacing w:before="0" w:beforeLines="50" w:line="520" w:lineRule="exact"/>
        <w:ind w:firstLine="960" w:firstLineChars="300"/>
        <w:rPr>
          <w:rFonts w:ascii="仿宋_GB2312" w:eastAsia="仿宋_GB2312" w:cs="Times New Roman"/>
          <w:sz w:val="32"/>
          <w:szCs w:val="32"/>
        </w:rPr>
      </w:pPr>
      <w:r>
        <w:rPr>
          <w:rFonts w:ascii="仿宋_GB2312" w:eastAsia="仿宋_GB2312" w:cs="仿宋_GB2312"/>
          <w:sz w:val="32"/>
          <w:szCs w:val="32"/>
        </w:rPr>
        <w:t>1.</w:t>
      </w:r>
      <w:r>
        <w:rPr>
          <w:rFonts w:hint="eastAsia" w:ascii="仿宋_GB2312" w:eastAsia="仿宋_GB2312" w:cs="仿宋_GB2312"/>
          <w:sz w:val="32"/>
          <w:szCs w:val="32"/>
        </w:rPr>
        <w:t>执行率情况。</w:t>
      </w:r>
    </w:p>
    <w:p w14:paraId="2EBAFAFC">
      <w:pPr>
        <w:keepNext w:val="0"/>
        <w:keepLines w:val="0"/>
        <w:pageBreakBefore w:val="0"/>
        <w:kinsoku/>
        <w:wordWrap/>
        <w:overflowPunct/>
        <w:topLinePunct/>
        <w:autoSpaceDE w:val="0"/>
        <w:autoSpaceDN/>
        <w:bidi w:val="0"/>
        <w:adjustRightInd/>
        <w:snapToGrid/>
        <w:spacing w:before="0" w:beforeLines="50" w:line="520" w:lineRule="exact"/>
        <w:ind w:firstLine="640" w:firstLineChars="200"/>
        <w:textAlignment w:val="auto"/>
        <w:rPr>
          <w:rFonts w:hint="eastAsia" w:ascii="仿宋_GB2312" w:hAnsi="仿宋" w:eastAsia="仿宋_GB2312" w:cs="Times New Roman"/>
          <w:sz w:val="32"/>
          <w:szCs w:val="32"/>
          <w:lang w:val="en-US" w:eastAsia="zh-CN"/>
        </w:rPr>
      </w:pPr>
      <w:r>
        <w:rPr>
          <w:rFonts w:hint="eastAsia" w:ascii="仿宋_GB2312" w:eastAsia="仿宋_GB2312"/>
          <w:sz w:val="32"/>
          <w:szCs w:val="32"/>
        </w:rPr>
        <w:t>执行率情况。</w:t>
      </w:r>
      <w:r>
        <w:rPr>
          <w:rFonts w:hint="eastAsia" w:ascii="仿宋_GB2312" w:eastAsia="仿宋_GB2312"/>
          <w:sz w:val="32"/>
          <w:szCs w:val="32"/>
          <w:lang w:val="en-US" w:eastAsia="zh-CN"/>
        </w:rPr>
        <w:t>2023年收入2045.98万元，支出</w:t>
      </w:r>
      <w:r>
        <w:rPr>
          <w:rFonts w:hint="eastAsia" w:ascii="仿宋_GB2312" w:hAnsi="仿宋" w:eastAsia="仿宋_GB2312" w:cs="Times New Roman"/>
          <w:sz w:val="32"/>
          <w:szCs w:val="32"/>
          <w:lang w:val="en-US" w:eastAsia="zh-CN"/>
        </w:rPr>
        <w:t>2036.48万元，执行率99.54%。</w:t>
      </w:r>
    </w:p>
    <w:p w14:paraId="71EBC95D">
      <w:pPr>
        <w:pStyle w:val="4"/>
        <w:keepNext w:val="0"/>
        <w:keepLines w:val="0"/>
        <w:pageBreakBefore w:val="0"/>
        <w:kinsoku/>
        <w:wordWrap/>
        <w:overflowPunct/>
        <w:topLinePunct/>
        <w:autoSpaceDE w:val="0"/>
        <w:autoSpaceDN/>
        <w:bidi w:val="0"/>
        <w:spacing w:before="0" w:beforeLines="50" w:line="520" w:lineRule="exact"/>
        <w:ind w:firstLine="640" w:firstLineChars="200"/>
        <w:rPr>
          <w:rFonts w:hint="default" w:ascii="仿宋_GB2312" w:eastAsia="仿宋_GB2312" w:cs="仿宋_GB2312"/>
          <w:kern w:val="2"/>
          <w:sz w:val="32"/>
          <w:szCs w:val="32"/>
          <w:lang w:val="en-US" w:eastAsia="zh-CN" w:bidi="ar-SA"/>
        </w:rPr>
      </w:pPr>
      <w:r>
        <w:rPr>
          <w:rFonts w:hint="eastAsia" w:ascii="仿宋_GB2312" w:eastAsia="仿宋_GB2312" w:cs="仿宋_GB2312"/>
          <w:kern w:val="2"/>
          <w:sz w:val="32"/>
          <w:szCs w:val="32"/>
          <w:lang w:val="en-US" w:eastAsia="zh-CN" w:bidi="ar-SA"/>
        </w:rPr>
        <w:t>其中：基本支出预算201万元，实际下达237.1万元，支出237.1万元，</w:t>
      </w:r>
      <w:r>
        <w:rPr>
          <w:rFonts w:hint="eastAsia" w:ascii="仿宋_GB2312" w:hAnsi="仿宋" w:eastAsia="仿宋_GB2312" w:cs="Times New Roman"/>
          <w:sz w:val="32"/>
          <w:szCs w:val="32"/>
          <w:lang w:val="en-US" w:eastAsia="zh-CN"/>
        </w:rPr>
        <w:t>执行率99.54%</w:t>
      </w:r>
      <w:r>
        <w:rPr>
          <w:rFonts w:hint="eastAsia" w:ascii="仿宋_GB2312" w:eastAsia="仿宋_GB2312" w:cs="仿宋_GB2312"/>
          <w:kern w:val="2"/>
          <w:sz w:val="32"/>
          <w:szCs w:val="32"/>
          <w:lang w:val="en-US" w:eastAsia="zh-CN" w:bidi="ar-SA"/>
        </w:rPr>
        <w:t>。项目支出预算1285.3万元，实际下达1808.88万元，支出1799.39万元，</w:t>
      </w:r>
      <w:r>
        <w:rPr>
          <w:rFonts w:hint="eastAsia" w:ascii="仿宋_GB2312" w:hAnsi="仿宋" w:eastAsia="仿宋_GB2312" w:cs="Times New Roman"/>
          <w:sz w:val="32"/>
          <w:szCs w:val="32"/>
          <w:lang w:val="en-US" w:eastAsia="zh-CN"/>
        </w:rPr>
        <w:t>执行率99.47%</w:t>
      </w:r>
      <w:r>
        <w:rPr>
          <w:rFonts w:hint="eastAsia" w:ascii="仿宋_GB2312" w:eastAsia="仿宋_GB2312" w:cs="仿宋_GB2312"/>
          <w:kern w:val="2"/>
          <w:sz w:val="32"/>
          <w:szCs w:val="32"/>
          <w:lang w:val="en-US" w:eastAsia="zh-CN" w:bidi="ar-SA"/>
        </w:rPr>
        <w:t>。</w:t>
      </w:r>
    </w:p>
    <w:p w14:paraId="704ED695">
      <w:pPr>
        <w:keepNext w:val="0"/>
        <w:keepLines w:val="0"/>
        <w:pageBreakBefore w:val="0"/>
        <w:kinsoku/>
        <w:wordWrap/>
        <w:overflowPunct/>
        <w:topLinePunct/>
        <w:autoSpaceDE w:val="0"/>
        <w:autoSpaceDN/>
        <w:bidi w:val="0"/>
        <w:adjustRightInd/>
        <w:snapToGrid/>
        <w:spacing w:before="0" w:beforeLines="50" w:line="520" w:lineRule="exact"/>
        <w:ind w:firstLine="640" w:firstLineChars="200"/>
        <w:textAlignment w:val="auto"/>
        <w:rPr>
          <w:rFonts w:hint="eastAsia" w:ascii="仿宋_GB2312" w:hAnsi="等线" w:eastAsia="仿宋_GB2312" w:cs="仿宋_GB2312"/>
          <w:kern w:val="2"/>
          <w:sz w:val="32"/>
          <w:szCs w:val="32"/>
          <w:lang w:val="en-US" w:eastAsia="zh-CN" w:bidi="ar-SA"/>
        </w:rPr>
      </w:pPr>
      <w:r>
        <w:rPr>
          <w:rFonts w:ascii="仿宋_GB2312" w:eastAsia="仿宋_GB2312" w:cs="仿宋_GB2312"/>
          <w:sz w:val="32"/>
          <w:szCs w:val="32"/>
        </w:rPr>
        <w:t>2.</w:t>
      </w:r>
      <w:r>
        <w:rPr>
          <w:rFonts w:hint="eastAsia" w:ascii="仿宋_GB2312" w:eastAsia="仿宋_GB2312" w:cs="仿宋_GB2312"/>
          <w:sz w:val="32"/>
          <w:szCs w:val="32"/>
        </w:rPr>
        <w:t>完成的绩效目标。</w:t>
      </w:r>
    </w:p>
    <w:p w14:paraId="62ECC68E">
      <w:pPr>
        <w:pStyle w:val="4"/>
        <w:keepNext w:val="0"/>
        <w:keepLines w:val="0"/>
        <w:pageBreakBefore w:val="0"/>
        <w:kinsoku/>
        <w:wordWrap/>
        <w:overflowPunct/>
        <w:topLinePunct/>
        <w:autoSpaceDE w:val="0"/>
        <w:autoSpaceDN/>
        <w:bidi w:val="0"/>
        <w:spacing w:before="0" w:beforeLines="50" w:line="520" w:lineRule="exact"/>
        <w:ind w:firstLine="640"/>
        <w:rPr>
          <w:rFonts w:hint="eastAsia" w:ascii="仿宋_GB2312" w:hAnsi="等线" w:eastAsia="仿宋_GB2312" w:cs="仿宋_GB2312"/>
          <w:kern w:val="2"/>
          <w:sz w:val="32"/>
          <w:szCs w:val="32"/>
          <w:lang w:val="en-US" w:eastAsia="zh-CN" w:bidi="ar-SA"/>
        </w:rPr>
      </w:pPr>
      <w:r>
        <w:rPr>
          <w:rFonts w:hint="eastAsia" w:ascii="仿宋_GB2312" w:eastAsia="仿宋_GB2312" w:cs="仿宋_GB2312"/>
          <w:kern w:val="2"/>
          <w:sz w:val="32"/>
          <w:szCs w:val="32"/>
          <w:lang w:val="en-US" w:eastAsia="zh-CN" w:bidi="ar-SA"/>
        </w:rPr>
        <w:t>基本支出主要是用于残联机关、附属2个二级单位人员经费和工作经费支出。</w:t>
      </w:r>
    </w:p>
    <w:p w14:paraId="7A14C202">
      <w:pPr>
        <w:keepNext w:val="0"/>
        <w:keepLines w:val="0"/>
        <w:pageBreakBefore w:val="0"/>
        <w:kinsoku/>
        <w:wordWrap/>
        <w:overflowPunct/>
        <w:topLinePunct/>
        <w:autoSpaceDE w:val="0"/>
        <w:autoSpaceDN/>
        <w:bidi w:val="0"/>
        <w:adjustRightInd/>
        <w:snapToGrid/>
        <w:spacing w:before="0" w:beforeLines="50" w:line="520" w:lineRule="exact"/>
        <w:ind w:firstLine="640" w:firstLineChars="200"/>
        <w:textAlignment w:val="auto"/>
        <w:rPr>
          <w:rFonts w:hint="eastAsia" w:ascii="仿宋_GB2312" w:eastAsia="仿宋_GB2312" w:cs="仿宋_GB2312"/>
          <w:kern w:val="2"/>
          <w:sz w:val="32"/>
          <w:szCs w:val="32"/>
          <w:lang w:val="en-US" w:eastAsia="zh-CN" w:bidi="ar-SA"/>
        </w:rPr>
      </w:pPr>
      <w:r>
        <w:rPr>
          <w:rFonts w:hint="eastAsia" w:ascii="仿宋_GB2312" w:eastAsia="仿宋_GB2312" w:cs="仿宋_GB2312"/>
          <w:kern w:val="2"/>
          <w:sz w:val="32"/>
          <w:szCs w:val="32"/>
          <w:lang w:val="en-US" w:eastAsia="zh-CN" w:bidi="ar-SA"/>
        </w:rPr>
        <w:t>项目支出中，上级</w:t>
      </w:r>
      <w:r>
        <w:rPr>
          <w:rFonts w:hint="eastAsia" w:ascii="仿宋_GB2312" w:hAnsi="等线" w:eastAsia="仿宋_GB2312" w:cs="仿宋_GB2312"/>
          <w:kern w:val="2"/>
          <w:sz w:val="32"/>
          <w:szCs w:val="32"/>
          <w:lang w:val="en-US" w:eastAsia="zh-CN" w:bidi="ar-SA"/>
        </w:rPr>
        <w:t>残疾人事业发展项目资金下达617万元。用于完成残疾人家庭无障碍改造</w:t>
      </w:r>
      <w:r>
        <w:rPr>
          <w:rFonts w:hint="eastAsia" w:ascii="仿宋_GB2312" w:eastAsia="仿宋_GB2312" w:cs="仿宋_GB2312"/>
          <w:kern w:val="2"/>
          <w:sz w:val="32"/>
          <w:szCs w:val="32"/>
          <w:lang w:val="en-US" w:eastAsia="zh-CN" w:bidi="ar-SA"/>
        </w:rPr>
        <w:t>300户</w:t>
      </w:r>
      <w:r>
        <w:rPr>
          <w:rFonts w:hint="eastAsia" w:ascii="仿宋_GB2312" w:hAnsi="等线" w:eastAsia="仿宋_GB2312" w:cs="仿宋_GB2312"/>
          <w:kern w:val="2"/>
          <w:sz w:val="32"/>
          <w:szCs w:val="32"/>
          <w:lang w:val="en-US" w:eastAsia="zh-CN" w:bidi="ar-SA"/>
        </w:rPr>
        <w:t>，0-1</w:t>
      </w:r>
      <w:r>
        <w:rPr>
          <w:rFonts w:hint="eastAsia" w:ascii="仿宋_GB2312" w:eastAsia="仿宋_GB2312" w:cs="仿宋_GB2312"/>
          <w:kern w:val="2"/>
          <w:sz w:val="32"/>
          <w:szCs w:val="32"/>
          <w:lang w:val="en-US" w:eastAsia="zh-CN" w:bidi="ar-SA"/>
        </w:rPr>
        <w:t>4</w:t>
      </w:r>
      <w:r>
        <w:rPr>
          <w:rFonts w:hint="eastAsia" w:ascii="仿宋_GB2312" w:hAnsi="等线" w:eastAsia="仿宋_GB2312" w:cs="仿宋_GB2312"/>
          <w:kern w:val="2"/>
          <w:sz w:val="32"/>
          <w:szCs w:val="32"/>
          <w:lang w:val="en-US" w:eastAsia="zh-CN" w:bidi="ar-SA"/>
        </w:rPr>
        <w:t>岁残疾儿童康复救助</w:t>
      </w:r>
      <w:r>
        <w:rPr>
          <w:rFonts w:hint="eastAsia" w:ascii="仿宋_GB2312" w:eastAsia="仿宋_GB2312" w:cs="仿宋_GB2312"/>
          <w:kern w:val="2"/>
          <w:sz w:val="32"/>
          <w:szCs w:val="32"/>
          <w:lang w:val="en-US" w:eastAsia="zh-CN" w:bidi="ar-SA"/>
        </w:rPr>
        <w:t>301</w:t>
      </w:r>
      <w:r>
        <w:rPr>
          <w:rFonts w:hint="eastAsia" w:ascii="仿宋_GB2312" w:hAnsi="等线" w:eastAsia="仿宋_GB2312" w:cs="仿宋_GB2312"/>
          <w:kern w:val="2"/>
          <w:sz w:val="32"/>
          <w:szCs w:val="32"/>
          <w:lang w:val="en-US" w:eastAsia="zh-CN" w:bidi="ar-SA"/>
        </w:rPr>
        <w:t>人</w:t>
      </w:r>
      <w:r>
        <w:rPr>
          <w:rFonts w:hint="eastAsia" w:ascii="仿宋_GB2312" w:eastAsia="仿宋_GB2312" w:cs="仿宋_GB2312"/>
          <w:kern w:val="2"/>
          <w:sz w:val="32"/>
          <w:szCs w:val="32"/>
          <w:lang w:val="en-US" w:eastAsia="zh-CN" w:bidi="ar-SA"/>
        </w:rPr>
        <w:t>，</w:t>
      </w:r>
      <w:r>
        <w:rPr>
          <w:rFonts w:hint="eastAsia" w:ascii="仿宋_GB2312" w:hAnsi="等线" w:eastAsia="仿宋_GB2312" w:cs="仿宋_GB2312"/>
          <w:kern w:val="2"/>
          <w:sz w:val="32"/>
          <w:szCs w:val="32"/>
          <w:lang w:val="en-US" w:eastAsia="zh-CN" w:bidi="ar-SA"/>
        </w:rPr>
        <w:t>残疾人阳光家园</w:t>
      </w:r>
      <w:r>
        <w:rPr>
          <w:rFonts w:hint="eastAsia" w:ascii="仿宋_GB2312" w:eastAsia="仿宋_GB2312" w:cs="仿宋_GB2312"/>
          <w:kern w:val="2"/>
          <w:sz w:val="32"/>
          <w:szCs w:val="32"/>
          <w:lang w:val="en-US" w:eastAsia="zh-CN" w:bidi="ar-SA"/>
        </w:rPr>
        <w:t>托养235</w:t>
      </w:r>
      <w:r>
        <w:rPr>
          <w:rFonts w:hint="eastAsia" w:ascii="仿宋_GB2312" w:hAnsi="等线" w:eastAsia="仿宋_GB2312" w:cs="仿宋_GB2312"/>
          <w:kern w:val="2"/>
          <w:sz w:val="32"/>
          <w:szCs w:val="32"/>
          <w:lang w:val="en-US" w:eastAsia="zh-CN" w:bidi="ar-SA"/>
        </w:rPr>
        <w:t>人，残疾人培训152人，其他残疾人事业</w:t>
      </w:r>
      <w:r>
        <w:rPr>
          <w:rFonts w:hint="eastAsia" w:ascii="仿宋_GB2312" w:eastAsia="仿宋_GB2312" w:cs="仿宋_GB2312"/>
          <w:kern w:val="2"/>
          <w:sz w:val="32"/>
          <w:szCs w:val="32"/>
          <w:lang w:val="en-US" w:eastAsia="zh-CN" w:bidi="ar-SA"/>
        </w:rPr>
        <w:t>服务5000</w:t>
      </w:r>
      <w:r>
        <w:rPr>
          <w:rFonts w:hint="eastAsia" w:ascii="仿宋_GB2312" w:hAnsi="等线" w:eastAsia="仿宋_GB2312" w:cs="仿宋_GB2312"/>
          <w:kern w:val="2"/>
          <w:sz w:val="32"/>
          <w:szCs w:val="32"/>
          <w:lang w:val="en-US" w:eastAsia="zh-CN" w:bidi="ar-SA"/>
        </w:rPr>
        <w:t>人</w:t>
      </w:r>
      <w:r>
        <w:rPr>
          <w:rFonts w:hint="eastAsia" w:ascii="仿宋_GB2312" w:eastAsia="仿宋_GB2312" w:cs="仿宋_GB2312"/>
          <w:kern w:val="2"/>
          <w:sz w:val="32"/>
          <w:szCs w:val="32"/>
          <w:lang w:val="en-US" w:eastAsia="zh-CN" w:bidi="ar-SA"/>
        </w:rPr>
        <w:t>。</w:t>
      </w:r>
    </w:p>
    <w:p w14:paraId="20AC7BCD">
      <w:pPr>
        <w:pStyle w:val="4"/>
        <w:keepNext w:val="0"/>
        <w:keepLines w:val="0"/>
        <w:pageBreakBefore w:val="0"/>
        <w:kinsoku/>
        <w:wordWrap/>
        <w:overflowPunct/>
        <w:topLinePunct/>
        <w:autoSpaceDE w:val="0"/>
        <w:autoSpaceDN/>
        <w:bidi w:val="0"/>
        <w:spacing w:before="0" w:beforeLines="50" w:line="520" w:lineRule="exact"/>
        <w:ind w:firstLine="640"/>
        <w:rPr>
          <w:rFonts w:hint="eastAsia" w:ascii="仿宋_GB2312" w:eastAsia="仿宋_GB2312" w:cs="仿宋_GB2312"/>
          <w:kern w:val="2"/>
          <w:sz w:val="32"/>
          <w:szCs w:val="32"/>
          <w:lang w:val="en-US" w:eastAsia="zh-CN" w:bidi="ar-SA"/>
        </w:rPr>
      </w:pPr>
      <w:r>
        <w:rPr>
          <w:rFonts w:hint="eastAsia" w:ascii="仿宋_GB2312" w:eastAsia="仿宋_GB2312" w:cs="仿宋_GB2312"/>
          <w:kern w:val="2"/>
          <w:sz w:val="32"/>
          <w:szCs w:val="32"/>
          <w:lang w:val="en-US" w:eastAsia="zh-CN" w:bidi="ar-SA"/>
        </w:rPr>
        <w:t>县级残疾人事业发展资金下达1191.88万元，实际支出1182.38万元。主要用于为9058名残疾人代缴医保，拨付残疾人康复中心基础建设款，进行残疾人春节慰问及临时救助、为7863名残疾人意外险购买等其他残疾人事业服务。</w:t>
      </w:r>
    </w:p>
    <w:p w14:paraId="33055CBD">
      <w:pPr>
        <w:keepNext w:val="0"/>
        <w:keepLines w:val="0"/>
        <w:pageBreakBefore w:val="0"/>
        <w:kinsoku/>
        <w:wordWrap/>
        <w:overflowPunct/>
        <w:topLinePunct/>
        <w:autoSpaceDE w:val="0"/>
        <w:autoSpaceDN/>
        <w:bidi w:val="0"/>
        <w:adjustRightInd/>
        <w:snapToGrid/>
        <w:spacing w:before="0" w:beforeLines="50" w:line="520" w:lineRule="exact"/>
        <w:ind w:firstLine="640" w:firstLineChars="200"/>
        <w:textAlignment w:val="auto"/>
        <w:rPr>
          <w:rFonts w:ascii="仿宋_GB2312" w:eastAsia="仿宋_GB2312" w:cs="Times New Roman"/>
          <w:sz w:val="32"/>
          <w:szCs w:val="32"/>
        </w:rPr>
      </w:pPr>
      <w:r>
        <w:rPr>
          <w:rFonts w:ascii="仿宋_GB2312" w:eastAsia="仿宋_GB2312" w:cs="仿宋_GB2312"/>
          <w:sz w:val="32"/>
          <w:szCs w:val="32"/>
        </w:rPr>
        <w:t>3.</w:t>
      </w:r>
      <w:r>
        <w:rPr>
          <w:rFonts w:hint="eastAsia" w:ascii="仿宋_GB2312" w:eastAsia="仿宋_GB2312" w:cs="仿宋_GB2312"/>
          <w:sz w:val="32"/>
          <w:szCs w:val="32"/>
          <w:lang w:eastAsia="zh-CN"/>
        </w:rPr>
        <w:t>无</w:t>
      </w:r>
      <w:r>
        <w:rPr>
          <w:rFonts w:hint="eastAsia" w:ascii="仿宋_GB2312" w:eastAsia="仿宋_GB2312" w:cs="仿宋_GB2312"/>
          <w:sz w:val="32"/>
          <w:szCs w:val="32"/>
        </w:rPr>
        <w:t>未完成的绩效目标。</w:t>
      </w:r>
    </w:p>
    <w:p w14:paraId="73713EEB">
      <w:pPr>
        <w:keepNext w:val="0"/>
        <w:keepLines w:val="0"/>
        <w:pageBreakBefore w:val="0"/>
        <w:kinsoku/>
        <w:wordWrap/>
        <w:overflowPunct/>
        <w:topLinePunct/>
        <w:autoSpaceDE w:val="0"/>
        <w:autoSpaceDN/>
        <w:bidi w:val="0"/>
        <w:spacing w:before="0" w:beforeLines="50" w:line="520" w:lineRule="exact"/>
        <w:ind w:firstLine="640" w:firstLineChars="200"/>
        <w:rPr>
          <w:rFonts w:ascii="楷体_GB2312" w:hAnsi="楷体" w:eastAsia="楷体_GB2312" w:cs="Times New Roman"/>
          <w:sz w:val="32"/>
          <w:szCs w:val="32"/>
        </w:rPr>
      </w:pPr>
      <w:r>
        <w:rPr>
          <w:rFonts w:hint="eastAsia" w:ascii="楷体_GB2312" w:hAnsi="楷体" w:eastAsia="楷体_GB2312" w:cs="楷体_GB2312"/>
          <w:sz w:val="32"/>
          <w:szCs w:val="32"/>
        </w:rPr>
        <w:t>（三）存在的问题和原因</w:t>
      </w:r>
    </w:p>
    <w:p w14:paraId="76558FF0">
      <w:pPr>
        <w:pStyle w:val="4"/>
        <w:keepNext w:val="0"/>
        <w:keepLines w:val="0"/>
        <w:pageBreakBefore w:val="0"/>
        <w:kinsoku/>
        <w:wordWrap/>
        <w:overflowPunct/>
        <w:topLinePunct/>
        <w:autoSpaceDE w:val="0"/>
        <w:autoSpaceDN/>
        <w:bidi w:val="0"/>
        <w:spacing w:before="0" w:beforeLines="50" w:line="520" w:lineRule="exact"/>
        <w:rPr>
          <w:rFonts w:hint="eastAsia" w:ascii="仿宋_GB2312" w:hAnsi="等线" w:eastAsia="仿宋_GB2312" w:cs="仿宋_GB2312"/>
          <w:kern w:val="2"/>
          <w:sz w:val="32"/>
          <w:szCs w:val="32"/>
          <w:lang w:val="en-US" w:eastAsia="zh-CN" w:bidi="ar-SA"/>
        </w:rPr>
      </w:pPr>
      <w:r>
        <w:rPr>
          <w:rFonts w:hint="eastAsia" w:ascii="仿宋_GB2312" w:hAnsi="等线" w:eastAsia="仿宋_GB2312" w:cs="仿宋_GB2312"/>
          <w:kern w:val="2"/>
          <w:sz w:val="32"/>
          <w:szCs w:val="32"/>
          <w:lang w:val="en-US" w:eastAsia="zh-CN" w:bidi="ar-SA"/>
        </w:rPr>
        <w:t xml:space="preserve">     残疾儿童康复实际康复数301人，</w:t>
      </w:r>
      <w:r>
        <w:rPr>
          <w:rFonts w:hint="eastAsia" w:ascii="仿宋_GB2312" w:eastAsia="仿宋_GB2312" w:cs="仿宋_GB2312"/>
          <w:kern w:val="2"/>
          <w:sz w:val="32"/>
          <w:szCs w:val="32"/>
          <w:lang w:val="en-US" w:eastAsia="zh-CN" w:bidi="ar-SA"/>
        </w:rPr>
        <w:t>项目</w:t>
      </w:r>
      <w:r>
        <w:rPr>
          <w:rFonts w:hint="eastAsia" w:ascii="仿宋_GB2312" w:hAnsi="等线" w:eastAsia="仿宋_GB2312" w:cs="仿宋_GB2312"/>
          <w:kern w:val="2"/>
          <w:sz w:val="32"/>
          <w:szCs w:val="32"/>
          <w:lang w:val="en-US" w:eastAsia="zh-CN" w:bidi="ar-SA"/>
        </w:rPr>
        <w:t>下达指标数少于实际</w:t>
      </w:r>
      <w:r>
        <w:rPr>
          <w:rFonts w:hint="eastAsia" w:ascii="仿宋_GB2312" w:eastAsia="仿宋_GB2312" w:cs="仿宋_GB2312"/>
          <w:kern w:val="2"/>
          <w:sz w:val="32"/>
          <w:szCs w:val="32"/>
          <w:lang w:val="en-US" w:eastAsia="zh-CN" w:bidi="ar-SA"/>
        </w:rPr>
        <w:t>康复</w:t>
      </w:r>
      <w:r>
        <w:rPr>
          <w:rFonts w:hint="eastAsia" w:ascii="仿宋_GB2312" w:hAnsi="等线" w:eastAsia="仿宋_GB2312" w:cs="仿宋_GB2312"/>
          <w:kern w:val="2"/>
          <w:sz w:val="32"/>
          <w:szCs w:val="32"/>
          <w:lang w:val="en-US" w:eastAsia="zh-CN" w:bidi="ar-SA"/>
        </w:rPr>
        <w:t>人数，县级财政资金没有配套，导致资金缺口较大。残疾儿童康复统筹使用了100余万精准康复、辅具适配资金</w:t>
      </w:r>
      <w:r>
        <w:rPr>
          <w:rFonts w:hint="eastAsia" w:ascii="仿宋_GB2312" w:eastAsia="仿宋_GB2312" w:cs="仿宋_GB2312"/>
          <w:kern w:val="2"/>
          <w:sz w:val="32"/>
          <w:szCs w:val="32"/>
          <w:lang w:val="en-US" w:eastAsia="zh-CN" w:bidi="ar-SA"/>
        </w:rPr>
        <w:t>，目前仍有40.54万资金缺口</w:t>
      </w:r>
      <w:r>
        <w:rPr>
          <w:rFonts w:hint="eastAsia" w:ascii="仿宋_GB2312" w:hAnsi="等线" w:eastAsia="仿宋_GB2312" w:cs="仿宋_GB2312"/>
          <w:kern w:val="2"/>
          <w:sz w:val="32"/>
          <w:szCs w:val="32"/>
          <w:lang w:val="en-US" w:eastAsia="zh-CN" w:bidi="ar-SA"/>
        </w:rPr>
        <w:t>。</w:t>
      </w:r>
    </w:p>
    <w:p w14:paraId="5FE023EE">
      <w:pPr>
        <w:keepNext w:val="0"/>
        <w:keepLines w:val="0"/>
        <w:pageBreakBefore w:val="0"/>
        <w:kinsoku/>
        <w:wordWrap/>
        <w:overflowPunct/>
        <w:topLinePunct/>
        <w:autoSpaceDE w:val="0"/>
        <w:autoSpaceDN/>
        <w:bidi w:val="0"/>
        <w:spacing w:before="0" w:beforeLines="50" w:line="520" w:lineRule="exact"/>
        <w:ind w:firstLine="640" w:firstLineChars="200"/>
        <w:rPr>
          <w:rFonts w:ascii="楷体_GB2312" w:hAnsi="楷体" w:eastAsia="楷体_GB2312" w:cs="Times New Roman"/>
          <w:sz w:val="32"/>
          <w:szCs w:val="32"/>
        </w:rPr>
      </w:pPr>
      <w:r>
        <w:rPr>
          <w:rFonts w:hint="eastAsia" w:ascii="楷体_GB2312" w:hAnsi="楷体" w:eastAsia="楷体_GB2312" w:cs="楷体_GB2312"/>
          <w:sz w:val="32"/>
          <w:szCs w:val="32"/>
        </w:rPr>
        <w:t>（四）下一步拟改进措施</w:t>
      </w:r>
    </w:p>
    <w:p w14:paraId="4411D664">
      <w:pPr>
        <w:keepNext w:val="0"/>
        <w:keepLines w:val="0"/>
        <w:pageBreakBefore w:val="0"/>
        <w:kinsoku/>
        <w:wordWrap/>
        <w:overflowPunct/>
        <w:topLinePunct/>
        <w:autoSpaceDE w:val="0"/>
        <w:autoSpaceDN/>
        <w:bidi w:val="0"/>
        <w:spacing w:before="0" w:beforeLines="50" w:line="520" w:lineRule="exact"/>
        <w:ind w:firstLine="640" w:firstLineChars="200"/>
        <w:rPr>
          <w:rFonts w:hint="eastAsia" w:ascii="仿宋_GB2312" w:eastAsia="仿宋_GB2312" w:cs="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下一步拟改进措施，包括部门和单位整体绩效水平提高、部门整体绩效目标调整完善等相关内容。</w:t>
      </w:r>
    </w:p>
    <w:p w14:paraId="4C23ED38">
      <w:pPr>
        <w:keepNext w:val="0"/>
        <w:keepLines w:val="0"/>
        <w:pageBreakBefore w:val="0"/>
        <w:widowControl/>
        <w:kinsoku/>
        <w:wordWrap/>
        <w:overflowPunct/>
        <w:topLinePunct/>
        <w:autoSpaceDE w:val="0"/>
        <w:autoSpaceDN/>
        <w:bidi w:val="0"/>
        <w:spacing w:before="0" w:beforeLines="50" w:line="540" w:lineRule="exact"/>
        <w:ind w:firstLine="640" w:firstLineChars="200"/>
        <w:rPr>
          <w:rFonts w:hint="eastAsia" w:ascii="仿宋_GB2312" w:hAnsi="等线" w:eastAsia="仿宋_GB2312" w:cs="仿宋_GB2312"/>
          <w:kern w:val="2"/>
          <w:sz w:val="32"/>
          <w:szCs w:val="32"/>
          <w:lang w:val="en-US" w:eastAsia="zh-CN" w:bidi="ar-SA"/>
        </w:rPr>
      </w:pPr>
      <w:r>
        <w:rPr>
          <w:rFonts w:hint="eastAsia" w:ascii="仿宋_GB2312" w:hAnsi="等线" w:eastAsia="仿宋_GB2312" w:cs="仿宋_GB2312"/>
          <w:kern w:val="2"/>
          <w:sz w:val="32"/>
          <w:szCs w:val="32"/>
          <w:lang w:val="en-US" w:eastAsia="zh-CN" w:bidi="ar-SA"/>
        </w:rPr>
        <w:t>我部门在今后工作中进一步精化项目指标的设定，往年一向参考以往的工作结果来设定项目指标，后期指标设定我部门将在参考以往的工作结果之外，还需进一步考虑影响指标的其他因素，同时合理制定项目工作计划以此来更精确的设定各项目指标，确保项目实施的有效性。同时我部门也将进一步加强预算编制及绩效申报编制能力，合理制定预算支出计划方案，在使用资金过程中加强对项目资金的管理及监控，推动资金的有效执行。</w:t>
      </w:r>
    </w:p>
    <w:p w14:paraId="704F3C84">
      <w:pPr>
        <w:keepNext w:val="0"/>
        <w:keepLines w:val="0"/>
        <w:pageBreakBefore w:val="0"/>
        <w:widowControl/>
        <w:kinsoku/>
        <w:wordWrap/>
        <w:overflowPunct/>
        <w:topLinePunct/>
        <w:autoSpaceDE w:val="0"/>
        <w:autoSpaceDN/>
        <w:bidi w:val="0"/>
        <w:spacing w:before="0" w:beforeLines="50" w:line="540" w:lineRule="exact"/>
        <w:ind w:firstLine="640" w:firstLineChars="200"/>
        <w:rPr>
          <w:rFonts w:ascii="仿宋_GB2312" w:eastAsia="仿宋_GB2312" w:cs="Times New Roman"/>
          <w:sz w:val="32"/>
          <w:szCs w:val="32"/>
        </w:rPr>
      </w:pPr>
      <w:r>
        <w:rPr>
          <w:rFonts w:ascii="仿宋_GB2312" w:eastAsia="仿宋_GB2312" w:cs="仿宋_GB2312"/>
          <w:sz w:val="32"/>
          <w:szCs w:val="32"/>
        </w:rPr>
        <w:t>2.</w:t>
      </w:r>
      <w:r>
        <w:rPr>
          <w:rFonts w:hint="eastAsia" w:ascii="仿宋_GB2312" w:eastAsia="仿宋_GB2312" w:cs="仿宋_GB2312"/>
          <w:sz w:val="32"/>
          <w:szCs w:val="32"/>
        </w:rPr>
        <w:t>拟与预算安排相结合情况。</w:t>
      </w:r>
    </w:p>
    <w:p w14:paraId="3A48C36C">
      <w:pPr>
        <w:keepNext w:val="0"/>
        <w:keepLines w:val="0"/>
        <w:pageBreakBefore w:val="0"/>
        <w:widowControl/>
        <w:kinsoku/>
        <w:wordWrap/>
        <w:overflowPunct/>
        <w:topLinePunct/>
        <w:autoSpaceDE w:val="0"/>
        <w:autoSpaceDN/>
        <w:bidi w:val="0"/>
        <w:adjustRightInd/>
        <w:snapToGrid/>
        <w:spacing w:before="0" w:beforeLines="50" w:line="540" w:lineRule="exact"/>
        <w:ind w:firstLine="640" w:firstLineChars="200"/>
        <w:textAlignment w:val="auto"/>
        <w:rPr>
          <w:rFonts w:ascii="楷体_GB2312" w:hAnsi="楷体_GB2312"/>
          <w:sz w:val="32"/>
          <w:szCs w:val="32"/>
        </w:rPr>
      </w:pPr>
      <w:r>
        <w:rPr>
          <w:rFonts w:ascii="仿宋_GB2312" w:eastAsia="仿宋_GB2312"/>
          <w:sz w:val="32"/>
          <w:szCs w:val="32"/>
        </w:rPr>
        <w:t>通过绩效自评工作的开展，县残联将评价结果作为各项目改进管理和安排以后年度预算的重要依据，各项目</w:t>
      </w:r>
      <w:r>
        <w:rPr>
          <w:rFonts w:hint="eastAsia" w:ascii="仿宋_GB2312" w:eastAsia="仿宋_GB2312"/>
          <w:sz w:val="32"/>
          <w:szCs w:val="32"/>
        </w:rPr>
        <w:t>实施股室</w:t>
      </w:r>
      <w:r>
        <w:rPr>
          <w:rFonts w:ascii="仿宋_GB2312" w:eastAsia="仿宋_GB2312"/>
          <w:sz w:val="32"/>
          <w:szCs w:val="32"/>
        </w:rPr>
        <w:t>针对自评中存在的问题及时进行调整管理方式，加强财务管理，完善管理办法，切实提高项目管理水平、财政资金的使用效益和工作效率。</w:t>
      </w:r>
    </w:p>
    <w:p w14:paraId="5D4F1F9E">
      <w:pPr>
        <w:keepNext w:val="0"/>
        <w:keepLines w:val="0"/>
        <w:pageBreakBefore w:val="0"/>
        <w:widowControl w:val="0"/>
        <w:kinsoku/>
        <w:wordWrap/>
        <w:overflowPunct/>
        <w:topLinePunct/>
        <w:autoSpaceDE w:val="0"/>
        <w:autoSpaceDN/>
        <w:bidi w:val="0"/>
        <w:adjustRightInd w:val="0"/>
        <w:snapToGrid w:val="0"/>
        <w:spacing w:line="295" w:lineRule="auto"/>
        <w:textAlignment w:val="baseline"/>
        <w:rPr>
          <w:rFonts w:hint="default" w:ascii="仿宋" w:hAnsi="仿宋" w:eastAsia="仿宋" w:cs="仿宋"/>
          <w:spacing w:val="0"/>
          <w:sz w:val="32"/>
          <w:szCs w:val="32"/>
          <w:lang w:val="en-US" w:eastAsia="zh-CN"/>
        </w:rPr>
        <w:sectPr>
          <w:footerReference r:id="rId13" w:type="default"/>
          <w:pgSz w:w="11906" w:h="16839"/>
          <w:pgMar w:top="1651" w:right="1501" w:bottom="1328" w:left="1785" w:header="0" w:footer="994" w:gutter="0"/>
          <w:pgNumType w:fmt="decimal"/>
          <w:cols w:space="720" w:num="1"/>
        </w:sectPr>
      </w:pPr>
    </w:p>
    <w:p w14:paraId="160B570C">
      <w:pPr>
        <w:keepNext w:val="0"/>
        <w:keepLines w:val="0"/>
        <w:pageBreakBefore w:val="0"/>
        <w:widowControl w:val="0"/>
        <w:kinsoku/>
        <w:wordWrap/>
        <w:overflowPunct/>
        <w:topLinePunct/>
        <w:autoSpaceDE w:val="0"/>
        <w:autoSpaceDN/>
        <w:bidi w:val="0"/>
        <w:adjustRightInd w:val="0"/>
        <w:snapToGrid w:val="0"/>
        <w:spacing w:before="116" w:line="225" w:lineRule="auto"/>
        <w:ind w:left="672"/>
        <w:textAlignment w:val="baseline"/>
        <w:outlineLvl w:val="2"/>
        <w:rPr>
          <w:rFonts w:ascii="黑体" w:hAnsi="黑体" w:eastAsia="黑体" w:cs="黑体"/>
          <w:spacing w:val="0"/>
          <w:sz w:val="31"/>
          <w:szCs w:val="31"/>
        </w:rPr>
      </w:pPr>
    </w:p>
    <w:p w14:paraId="7028DC28">
      <w:pPr>
        <w:keepNext w:val="0"/>
        <w:keepLines w:val="0"/>
        <w:pageBreakBefore w:val="0"/>
        <w:widowControl w:val="0"/>
        <w:kinsoku/>
        <w:wordWrap/>
        <w:overflowPunct/>
        <w:topLinePunct/>
        <w:autoSpaceDE w:val="0"/>
        <w:autoSpaceDN/>
        <w:bidi w:val="0"/>
        <w:adjustRightInd w:val="0"/>
        <w:snapToGrid w:val="0"/>
        <w:spacing w:before="120" w:line="520" w:lineRule="exact"/>
        <w:ind w:left="672"/>
        <w:textAlignment w:val="baseline"/>
        <w:outlineLvl w:val="2"/>
        <w:rPr>
          <w:rFonts w:ascii="黑体" w:hAnsi="黑体" w:eastAsia="黑体" w:cs="黑体"/>
          <w:spacing w:val="0"/>
          <w:sz w:val="31"/>
          <w:szCs w:val="31"/>
        </w:rPr>
      </w:pPr>
      <w:r>
        <w:rPr>
          <w:rFonts w:ascii="黑体" w:hAnsi="黑体" w:eastAsia="黑体" w:cs="黑体"/>
          <w:spacing w:val="0"/>
          <w:sz w:val="31"/>
          <w:szCs w:val="31"/>
        </w:rPr>
        <w:t>二、202</w:t>
      </w:r>
      <w:r>
        <w:rPr>
          <w:rFonts w:hint="eastAsia" w:ascii="黑体" w:hAnsi="黑体" w:eastAsia="黑体" w:cs="黑体"/>
          <w:spacing w:val="0"/>
          <w:sz w:val="31"/>
          <w:szCs w:val="31"/>
          <w:lang w:val="en-US" w:eastAsia="zh-CN"/>
        </w:rPr>
        <w:t>3</w:t>
      </w:r>
      <w:r>
        <w:rPr>
          <w:rFonts w:ascii="黑体" w:hAnsi="黑体" w:eastAsia="黑体" w:cs="黑体"/>
          <w:spacing w:val="0"/>
          <w:sz w:val="31"/>
          <w:szCs w:val="31"/>
        </w:rPr>
        <w:t xml:space="preserve"> 年度</w:t>
      </w:r>
      <w:r>
        <w:rPr>
          <w:rFonts w:ascii="宋体" w:hAnsi="宋体" w:eastAsia="宋体" w:cs="宋体"/>
          <w:spacing w:val="0"/>
          <w:sz w:val="35"/>
          <w:szCs w:val="35"/>
        </w:rPr>
        <w:t>残疾儿童康复救助</w:t>
      </w:r>
      <w:r>
        <w:rPr>
          <w:rFonts w:ascii="黑体" w:hAnsi="黑体" w:eastAsia="黑体" w:cs="黑体"/>
          <w:spacing w:val="0"/>
          <w:sz w:val="31"/>
          <w:szCs w:val="31"/>
        </w:rPr>
        <w:t>项目绩效评价报告</w:t>
      </w:r>
    </w:p>
    <w:p w14:paraId="3296692D">
      <w:pPr>
        <w:keepNext w:val="0"/>
        <w:keepLines w:val="0"/>
        <w:pageBreakBefore w:val="0"/>
        <w:kinsoku/>
        <w:wordWrap/>
        <w:overflowPunct/>
        <w:topLinePunct/>
        <w:autoSpaceDE w:val="0"/>
        <w:autoSpaceDN/>
        <w:bidi w:val="0"/>
        <w:spacing w:before="120" w:line="520" w:lineRule="exact"/>
        <w:ind w:firstLine="640" w:firstLineChars="200"/>
        <w:textAlignment w:val="baseline"/>
        <w:rPr>
          <w:rFonts w:ascii="黑体" w:hAnsi="黑体" w:eastAsia="黑体" w:cs="Times New Roman"/>
          <w:sz w:val="32"/>
          <w:szCs w:val="32"/>
        </w:rPr>
      </w:pPr>
      <w:r>
        <w:rPr>
          <w:rFonts w:hint="eastAsia" w:ascii="黑体" w:hAnsi="黑体" w:eastAsia="黑体" w:cs="黑体"/>
          <w:sz w:val="32"/>
          <w:szCs w:val="32"/>
        </w:rPr>
        <w:t>一、自评结论</w:t>
      </w:r>
    </w:p>
    <w:p w14:paraId="7ECF0EF7">
      <w:pPr>
        <w:keepNext w:val="0"/>
        <w:keepLines w:val="0"/>
        <w:pageBreakBefore w:val="0"/>
        <w:kinsoku/>
        <w:wordWrap/>
        <w:overflowPunct/>
        <w:topLinePunct/>
        <w:autoSpaceDE w:val="0"/>
        <w:autoSpaceDN/>
        <w:bidi w:val="0"/>
        <w:spacing w:before="120" w:line="520" w:lineRule="exact"/>
        <w:ind w:firstLine="640" w:firstLineChars="200"/>
        <w:textAlignment w:val="baseline"/>
        <w:rPr>
          <w:rFonts w:ascii="楷体_GB2312" w:hAnsi="楷体" w:eastAsia="楷体_GB2312" w:cs="Times New Roman"/>
          <w:sz w:val="32"/>
          <w:szCs w:val="32"/>
        </w:rPr>
      </w:pPr>
      <w:r>
        <w:rPr>
          <w:rFonts w:hint="eastAsia" w:ascii="楷体_GB2312" w:hAnsi="楷体" w:eastAsia="楷体_GB2312" w:cs="楷体_GB2312"/>
          <w:sz w:val="32"/>
          <w:szCs w:val="32"/>
        </w:rPr>
        <w:t>（一）自评得分</w:t>
      </w:r>
    </w:p>
    <w:p w14:paraId="0B024B33">
      <w:pPr>
        <w:keepNext w:val="0"/>
        <w:keepLines w:val="0"/>
        <w:pageBreakBefore w:val="0"/>
        <w:kinsoku/>
        <w:wordWrap/>
        <w:overflowPunct/>
        <w:topLinePunct/>
        <w:autoSpaceDE w:val="0"/>
        <w:autoSpaceDN/>
        <w:bidi w:val="0"/>
        <w:spacing w:before="120" w:after="0" w:line="520" w:lineRule="exact"/>
        <w:ind w:firstLine="640" w:firstLineChars="200"/>
        <w:textAlignment w:val="baseline"/>
        <w:rPr>
          <w:rFonts w:hint="eastAsia" w:ascii="楷体_GB2312" w:hAnsi="楷体" w:eastAsia="楷体_GB2312" w:cs="楷体_GB2312"/>
          <w:sz w:val="32"/>
          <w:szCs w:val="32"/>
        </w:rPr>
      </w:pPr>
      <w:r>
        <w:rPr>
          <w:rFonts w:hint="eastAsia" w:ascii="仿宋_GB2312" w:eastAsia="仿宋_GB2312" w:cs="仿宋_GB2312"/>
          <w:sz w:val="32"/>
          <w:szCs w:val="32"/>
        </w:rPr>
        <w:t>崇阳县残联202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年残疾儿童康复资金自评得分</w:t>
      </w:r>
      <w:r>
        <w:rPr>
          <w:rFonts w:hint="eastAsia" w:ascii="仿宋_GB2312" w:eastAsia="仿宋_GB2312" w:cs="仿宋_GB2312"/>
          <w:sz w:val="32"/>
          <w:szCs w:val="32"/>
          <w:lang w:val="en-US" w:eastAsia="zh-CN"/>
        </w:rPr>
        <w:t>88</w:t>
      </w:r>
      <w:r>
        <w:rPr>
          <w:rFonts w:hint="eastAsia" w:ascii="仿宋_GB2312" w:eastAsia="仿宋_GB2312" w:cs="仿宋_GB2312"/>
          <w:sz w:val="32"/>
          <w:szCs w:val="32"/>
        </w:rPr>
        <w:t>分。</w:t>
      </w:r>
    </w:p>
    <w:p w14:paraId="0D6CFE30">
      <w:pPr>
        <w:keepNext w:val="0"/>
        <w:keepLines w:val="0"/>
        <w:pageBreakBefore w:val="0"/>
        <w:kinsoku/>
        <w:wordWrap/>
        <w:overflowPunct/>
        <w:topLinePunct/>
        <w:autoSpaceDE w:val="0"/>
        <w:autoSpaceDN/>
        <w:bidi w:val="0"/>
        <w:spacing w:before="120" w:line="520" w:lineRule="exact"/>
        <w:ind w:firstLine="640" w:firstLineChars="200"/>
        <w:textAlignment w:val="baseline"/>
        <w:rPr>
          <w:rFonts w:ascii="楷体_GB2312" w:hAnsi="楷体" w:eastAsia="楷体_GB2312" w:cs="Times New Roman"/>
          <w:sz w:val="32"/>
          <w:szCs w:val="32"/>
        </w:rPr>
      </w:pPr>
      <w:r>
        <w:rPr>
          <w:rFonts w:hint="eastAsia" w:ascii="楷体_GB2312" w:hAnsi="楷体" w:eastAsia="楷体_GB2312" w:cs="楷体_GB2312"/>
          <w:sz w:val="32"/>
          <w:szCs w:val="32"/>
        </w:rPr>
        <w:t>（二）绩效目标完成情况</w:t>
      </w:r>
    </w:p>
    <w:p w14:paraId="7BE2AD9C">
      <w:pPr>
        <w:keepNext w:val="0"/>
        <w:keepLines w:val="0"/>
        <w:pageBreakBefore w:val="0"/>
        <w:kinsoku/>
        <w:wordWrap/>
        <w:overflowPunct/>
        <w:topLinePunct/>
        <w:autoSpaceDE w:val="0"/>
        <w:autoSpaceDN/>
        <w:bidi w:val="0"/>
        <w:spacing w:before="120" w:after="0" w:line="520" w:lineRule="exact"/>
        <w:ind w:firstLine="640" w:firstLineChars="200"/>
        <w:textAlignment w:val="baseline"/>
        <w:rPr>
          <w:rFonts w:ascii="Times New Roman" w:hAnsi="Times New Roman" w:eastAsia="仿宋_GB2312"/>
          <w:sz w:val="32"/>
          <w:szCs w:val="32"/>
        </w:rPr>
      </w:pPr>
      <w:r>
        <w:rPr>
          <w:rFonts w:ascii="Times New Roman" w:hAnsi="Times New Roman" w:eastAsia="仿宋_GB2312"/>
          <w:sz w:val="32"/>
          <w:szCs w:val="32"/>
        </w:rPr>
        <w:t>（1）项目资金到位情况分析。</w:t>
      </w:r>
      <w:r>
        <w:rPr>
          <w:rFonts w:hint="eastAsia"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hint="eastAsia" w:ascii="仿宋_GB2312" w:eastAsia="仿宋_GB2312" w:cs="仿宋_GB2312"/>
          <w:sz w:val="32"/>
          <w:szCs w:val="32"/>
          <w:lang w:eastAsia="zh-CN"/>
        </w:rPr>
        <w:t>上级</w:t>
      </w:r>
      <w:r>
        <w:rPr>
          <w:rFonts w:hint="eastAsia" w:ascii="仿宋_GB2312" w:eastAsia="仿宋_GB2312" w:cs="仿宋_GB2312"/>
          <w:sz w:val="32"/>
          <w:szCs w:val="32"/>
        </w:rPr>
        <w:t>资金</w:t>
      </w:r>
      <w:r>
        <w:rPr>
          <w:rFonts w:hint="eastAsia" w:ascii="仿宋_GB2312" w:eastAsia="仿宋_GB2312" w:cs="仿宋_GB2312"/>
          <w:sz w:val="32"/>
          <w:szCs w:val="32"/>
          <w:lang w:eastAsia="zh-CN"/>
        </w:rPr>
        <w:t>下拨</w:t>
      </w:r>
      <w:r>
        <w:rPr>
          <w:rFonts w:hint="eastAsia" w:ascii="仿宋_GB2312" w:eastAsia="仿宋_GB2312" w:cs="仿宋_GB2312"/>
          <w:sz w:val="32"/>
          <w:szCs w:val="32"/>
          <w:lang w:val="en-US" w:eastAsia="zh-CN"/>
        </w:rPr>
        <w:t>215</w:t>
      </w:r>
      <w:r>
        <w:rPr>
          <w:rFonts w:hint="eastAsia" w:ascii="仿宋_GB2312" w:eastAsia="仿宋_GB2312" w:cs="仿宋_GB2312"/>
          <w:sz w:val="32"/>
          <w:szCs w:val="32"/>
        </w:rPr>
        <w:t>万元，均已到位。</w:t>
      </w:r>
    </w:p>
    <w:p w14:paraId="52042F2B">
      <w:pPr>
        <w:keepNext w:val="0"/>
        <w:keepLines w:val="0"/>
        <w:pageBreakBefore w:val="0"/>
        <w:shd w:val="clear" w:color="auto" w:fill="FFFFFF"/>
        <w:kinsoku/>
        <w:wordWrap/>
        <w:overflowPunct/>
        <w:topLinePunct/>
        <w:autoSpaceDE w:val="0"/>
        <w:autoSpaceDN/>
        <w:bidi w:val="0"/>
        <w:adjustRightInd/>
        <w:snapToGrid/>
        <w:spacing w:before="120" w:after="0" w:line="520" w:lineRule="exact"/>
        <w:ind w:firstLine="640" w:firstLineChars="200"/>
        <w:textAlignment w:val="baseline"/>
        <w:rPr>
          <w:rFonts w:hint="eastAsia" w:ascii="仿宋_GB2312" w:eastAsia="仿宋_GB2312" w:cs="仿宋_GB2312"/>
          <w:sz w:val="32"/>
          <w:szCs w:val="32"/>
        </w:rPr>
      </w:pPr>
      <w:r>
        <w:rPr>
          <w:rFonts w:ascii="Times New Roman" w:hAnsi="Times New Roman" w:eastAsia="仿宋_GB2312"/>
          <w:sz w:val="32"/>
          <w:szCs w:val="32"/>
        </w:rPr>
        <w:t>（2）项目资金执行情况分析。</w:t>
      </w:r>
      <w:r>
        <w:rPr>
          <w:rFonts w:hint="eastAsia"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hint="eastAsia" w:ascii="仿宋_GB2312" w:eastAsia="仿宋_GB2312" w:cs="仿宋_GB2312"/>
          <w:sz w:val="32"/>
          <w:szCs w:val="32"/>
          <w:lang w:eastAsia="zh-CN"/>
        </w:rPr>
        <w:t>上级</w:t>
      </w:r>
      <w:r>
        <w:rPr>
          <w:rFonts w:hint="eastAsia" w:ascii="仿宋_GB2312" w:eastAsia="仿宋_GB2312" w:cs="仿宋_GB2312"/>
          <w:sz w:val="32"/>
          <w:szCs w:val="32"/>
        </w:rPr>
        <w:t>资金</w:t>
      </w:r>
      <w:r>
        <w:rPr>
          <w:rFonts w:hint="eastAsia" w:ascii="仿宋_GB2312" w:eastAsia="仿宋_GB2312" w:cs="仿宋_GB2312"/>
          <w:sz w:val="32"/>
          <w:szCs w:val="32"/>
          <w:lang w:eastAsia="zh-CN"/>
        </w:rPr>
        <w:t>下拨</w:t>
      </w:r>
      <w:r>
        <w:rPr>
          <w:rFonts w:hint="eastAsia" w:ascii="仿宋_GB2312" w:eastAsia="仿宋_GB2312" w:cs="仿宋_GB2312"/>
          <w:sz w:val="32"/>
          <w:szCs w:val="32"/>
          <w:lang w:val="en-US" w:eastAsia="zh-CN"/>
        </w:rPr>
        <w:t>215</w:t>
      </w:r>
      <w:r>
        <w:rPr>
          <w:rFonts w:hint="eastAsia" w:ascii="仿宋_GB2312" w:eastAsia="仿宋_GB2312" w:cs="仿宋_GB2312"/>
          <w:sz w:val="32"/>
          <w:szCs w:val="32"/>
        </w:rPr>
        <w:t>万元，均用于残疾儿童康复</w:t>
      </w:r>
      <w:r>
        <w:rPr>
          <w:rFonts w:hint="eastAsia" w:ascii="仿宋_GB2312" w:eastAsia="仿宋_GB2312" w:cs="仿宋_GB2312"/>
          <w:sz w:val="32"/>
          <w:szCs w:val="32"/>
          <w:lang w:eastAsia="zh-CN"/>
        </w:rPr>
        <w:t>救助</w:t>
      </w:r>
      <w:r>
        <w:rPr>
          <w:rFonts w:hint="eastAsia" w:ascii="仿宋_GB2312" w:eastAsia="仿宋_GB2312" w:cs="仿宋_GB2312"/>
          <w:sz w:val="32"/>
          <w:szCs w:val="32"/>
        </w:rPr>
        <w:t>。实际支付</w:t>
      </w:r>
      <w:r>
        <w:rPr>
          <w:rFonts w:hint="eastAsia" w:ascii="仿宋_GB2312" w:eastAsia="仿宋_GB2312" w:cs="仿宋_GB2312"/>
          <w:sz w:val="32"/>
          <w:szCs w:val="32"/>
          <w:lang w:val="en-US" w:eastAsia="zh-CN"/>
        </w:rPr>
        <w:t>310.43</w:t>
      </w:r>
      <w:r>
        <w:rPr>
          <w:rFonts w:hint="eastAsia" w:ascii="仿宋_GB2312" w:eastAsia="仿宋_GB2312" w:cs="仿宋_GB2312"/>
          <w:sz w:val="32"/>
          <w:szCs w:val="32"/>
        </w:rPr>
        <w:t>万元，资金执行率1</w:t>
      </w:r>
      <w:r>
        <w:rPr>
          <w:rFonts w:hint="eastAsia" w:ascii="仿宋_GB2312" w:eastAsia="仿宋_GB2312" w:cs="仿宋_GB2312"/>
          <w:sz w:val="32"/>
          <w:szCs w:val="32"/>
          <w:lang w:val="en-US" w:eastAsia="zh-CN"/>
        </w:rPr>
        <w:t>44.39</w:t>
      </w:r>
      <w:r>
        <w:rPr>
          <w:rFonts w:hint="eastAsia" w:ascii="仿宋_GB2312" w:eastAsia="仿宋_GB2312" w:cs="仿宋_GB2312"/>
          <w:sz w:val="32"/>
          <w:szCs w:val="32"/>
        </w:rPr>
        <w:t>%。</w:t>
      </w:r>
    </w:p>
    <w:p w14:paraId="7A67E985">
      <w:pPr>
        <w:keepNext w:val="0"/>
        <w:keepLines w:val="0"/>
        <w:pageBreakBefore w:val="0"/>
        <w:shd w:val="clear" w:color="auto" w:fill="FFFFFF"/>
        <w:kinsoku/>
        <w:wordWrap/>
        <w:overflowPunct/>
        <w:topLinePunct/>
        <w:autoSpaceDE w:val="0"/>
        <w:autoSpaceDN/>
        <w:bidi w:val="0"/>
        <w:adjustRightInd/>
        <w:snapToGrid/>
        <w:spacing w:before="120" w:after="0" w:line="520" w:lineRule="exact"/>
        <w:ind w:firstLine="640" w:firstLineChars="200"/>
        <w:textAlignment w:val="baseline"/>
        <w:rPr>
          <w:rFonts w:ascii="仿宋_GB2312" w:eastAsia="仿宋_GB2312" w:cs="Times New Roman"/>
          <w:sz w:val="32"/>
          <w:szCs w:val="32"/>
        </w:rPr>
      </w:pPr>
      <w:r>
        <w:rPr>
          <w:rFonts w:ascii="Times New Roman" w:hAnsi="Times New Roman" w:eastAsia="仿宋_GB2312"/>
          <w:sz w:val="32"/>
          <w:szCs w:val="32"/>
        </w:rPr>
        <w:t>（3）项目资金管理情况分析。</w:t>
      </w:r>
      <w:r>
        <w:rPr>
          <w:rFonts w:hint="eastAsia" w:ascii="Times New Roman" w:hAnsi="Times New Roman" w:eastAsia="仿宋_GB2312"/>
          <w:sz w:val="32"/>
          <w:szCs w:val="32"/>
        </w:rPr>
        <w:t>儿童康复资金均按文件精神落实到位。</w:t>
      </w:r>
    </w:p>
    <w:p w14:paraId="5A396BBC">
      <w:pPr>
        <w:keepNext w:val="0"/>
        <w:keepLines w:val="0"/>
        <w:pageBreakBefore w:val="0"/>
        <w:kinsoku/>
        <w:wordWrap/>
        <w:overflowPunct/>
        <w:topLinePunct/>
        <w:autoSpaceDE w:val="0"/>
        <w:autoSpaceDN/>
        <w:bidi w:val="0"/>
        <w:spacing w:before="120" w:line="520" w:lineRule="exact"/>
        <w:ind w:firstLine="640" w:firstLineChars="200"/>
        <w:textAlignment w:val="baseline"/>
        <w:rPr>
          <w:rFonts w:ascii="楷体_GB2312" w:hAnsi="楷体" w:eastAsia="楷体_GB2312" w:cs="Times New Roman"/>
          <w:sz w:val="32"/>
          <w:szCs w:val="32"/>
        </w:rPr>
      </w:pPr>
      <w:r>
        <w:rPr>
          <w:rFonts w:hint="eastAsia" w:ascii="楷体_GB2312" w:hAnsi="楷体" w:eastAsia="楷体_GB2312" w:cs="楷体_GB2312"/>
          <w:sz w:val="32"/>
          <w:szCs w:val="32"/>
        </w:rPr>
        <w:t>（三）存在的问题和原因</w:t>
      </w:r>
    </w:p>
    <w:p w14:paraId="622C7023">
      <w:pPr>
        <w:keepNext w:val="0"/>
        <w:keepLines w:val="0"/>
        <w:pageBreakBefore w:val="0"/>
        <w:widowControl/>
        <w:kinsoku/>
        <w:wordWrap/>
        <w:overflowPunct/>
        <w:topLinePunct/>
        <w:autoSpaceDE w:val="0"/>
        <w:autoSpaceDN/>
        <w:bidi w:val="0"/>
        <w:adjustRightInd w:val="0"/>
        <w:snapToGrid w:val="0"/>
        <w:spacing w:before="120" w:line="540" w:lineRule="exact"/>
        <w:ind w:firstLine="640" w:firstLineChars="200"/>
        <w:textAlignment w:val="baseline"/>
        <w:rPr>
          <w:rFonts w:hint="eastAsia" w:ascii="仿宋_GB2312" w:eastAsia="仿宋_GB2312" w:cs="仿宋_GB2312"/>
          <w:sz w:val="32"/>
          <w:szCs w:val="32"/>
        </w:rPr>
      </w:pPr>
      <w:r>
        <w:rPr>
          <w:rFonts w:hint="eastAsia" w:ascii="仿宋_GB2312" w:eastAsia="仿宋_GB2312" w:cs="仿宋_GB2312"/>
          <w:sz w:val="32"/>
          <w:szCs w:val="32"/>
        </w:rPr>
        <w:t>2023年全县残疾儿童康复救助人数301人，康复资金共需340.66万元，由于康复救助资金严重不足，2023年统筹100余万基本康复与辅具适配资金用于残疾儿童康复，尚有29.26万康复缺口未结算。</w:t>
      </w:r>
    </w:p>
    <w:p w14:paraId="7288F5D8">
      <w:pPr>
        <w:keepNext w:val="0"/>
        <w:keepLines w:val="0"/>
        <w:pageBreakBefore w:val="0"/>
        <w:widowControl/>
        <w:kinsoku/>
        <w:wordWrap/>
        <w:overflowPunct/>
        <w:topLinePunct/>
        <w:autoSpaceDE w:val="0"/>
        <w:autoSpaceDN/>
        <w:bidi w:val="0"/>
        <w:adjustRightInd w:val="0"/>
        <w:snapToGrid w:val="0"/>
        <w:spacing w:before="120" w:line="540" w:lineRule="exact"/>
        <w:ind w:firstLine="640" w:firstLineChars="200"/>
        <w:textAlignment w:val="baseline"/>
        <w:rPr>
          <w:rFonts w:hint="eastAsia" w:ascii="仿宋_GB2312" w:eastAsia="仿宋_GB2312" w:cs="仿宋_GB2312"/>
          <w:sz w:val="32"/>
          <w:szCs w:val="32"/>
        </w:rPr>
      </w:pPr>
      <w:r>
        <w:rPr>
          <w:rFonts w:hint="eastAsia" w:ascii="仿宋_GB2312" w:eastAsia="仿宋_GB2312" w:cs="仿宋_GB2312"/>
          <w:sz w:val="32"/>
          <w:szCs w:val="32"/>
        </w:rPr>
        <w:t>一方面，由于儿童康复系统填报不及时，导致省级资金下达数远少于儿童康复实际需要数，造成康复资金紧张。另一方面，县级残疾儿童康复配套资金未到位，导致康复救助资金执行数低于预算数。</w:t>
      </w:r>
    </w:p>
    <w:p w14:paraId="628F76D9">
      <w:pPr>
        <w:keepNext w:val="0"/>
        <w:keepLines w:val="0"/>
        <w:pageBreakBefore w:val="0"/>
        <w:widowControl/>
        <w:kinsoku/>
        <w:wordWrap/>
        <w:overflowPunct/>
        <w:topLinePunct/>
        <w:autoSpaceDE w:val="0"/>
        <w:autoSpaceDN/>
        <w:bidi w:val="0"/>
        <w:adjustRightInd w:val="0"/>
        <w:snapToGrid w:val="0"/>
        <w:spacing w:before="120" w:line="540" w:lineRule="exact"/>
        <w:ind w:firstLine="640" w:firstLineChars="200"/>
        <w:textAlignment w:val="baseline"/>
        <w:rPr>
          <w:rFonts w:hint="eastAsia" w:ascii="楷体_GB2312" w:hAnsi="楷体" w:eastAsia="楷体_GB2312" w:cs="楷体_GB2312"/>
          <w:sz w:val="32"/>
          <w:szCs w:val="32"/>
        </w:rPr>
      </w:pPr>
      <w:r>
        <w:rPr>
          <w:rFonts w:hint="eastAsia" w:ascii="楷体_GB2312" w:hAnsi="楷体" w:eastAsia="楷体_GB2312" w:cs="楷体_GB2312"/>
          <w:sz w:val="32"/>
          <w:szCs w:val="32"/>
        </w:rPr>
        <w:t>（四）下一步拟改进措施</w:t>
      </w:r>
    </w:p>
    <w:p w14:paraId="36F41EAE">
      <w:pPr>
        <w:keepNext w:val="0"/>
        <w:keepLines w:val="0"/>
        <w:pageBreakBefore w:val="0"/>
        <w:widowControl/>
        <w:kinsoku/>
        <w:wordWrap/>
        <w:overflowPunct/>
        <w:topLinePunct/>
        <w:autoSpaceDE w:val="0"/>
        <w:autoSpaceDN/>
        <w:bidi w:val="0"/>
        <w:adjustRightInd w:val="0"/>
        <w:snapToGrid w:val="0"/>
        <w:spacing w:before="120" w:line="540" w:lineRule="exact"/>
        <w:ind w:firstLine="640" w:firstLineChars="200"/>
        <w:textAlignment w:val="baseline"/>
        <w:rPr>
          <w:rFonts w:hint="eastAsia" w:ascii="仿宋_GB2312" w:eastAsia="仿宋_GB2312" w:cs="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下一步拟改进措施。</w:t>
      </w:r>
    </w:p>
    <w:p w14:paraId="4D94EDFA">
      <w:pPr>
        <w:keepNext w:val="0"/>
        <w:keepLines w:val="0"/>
        <w:pageBreakBefore w:val="0"/>
        <w:widowControl/>
        <w:kinsoku/>
        <w:wordWrap/>
        <w:overflowPunct/>
        <w:topLinePunct/>
        <w:autoSpaceDE w:val="0"/>
        <w:autoSpaceDN/>
        <w:bidi w:val="0"/>
        <w:adjustRightInd w:val="0"/>
        <w:snapToGrid w:val="0"/>
        <w:spacing w:before="120" w:line="540" w:lineRule="exact"/>
        <w:ind w:firstLine="640" w:firstLineChars="200"/>
        <w:textAlignment w:val="baseline"/>
        <w:rPr>
          <w:rFonts w:hint="eastAsia" w:ascii="仿宋_GB2312" w:eastAsia="仿宋_GB2312" w:cs="仿宋_GB2312" w:hAnsiTheme="minorHAnsi"/>
          <w:kern w:val="2"/>
          <w:sz w:val="32"/>
          <w:szCs w:val="32"/>
          <w:lang w:val="en-US" w:eastAsia="zh-CN" w:bidi="ar-SA"/>
        </w:rPr>
      </w:pPr>
      <w:r>
        <w:rPr>
          <w:rFonts w:hint="eastAsia" w:ascii="仿宋_GB2312" w:eastAsia="仿宋_GB2312" w:cs="仿宋_GB2312" w:hAnsiTheme="minorHAnsi"/>
          <w:kern w:val="2"/>
          <w:sz w:val="32"/>
          <w:szCs w:val="32"/>
          <w:lang w:val="en-US" w:eastAsia="zh-CN" w:bidi="ar-SA"/>
        </w:rPr>
        <w:t>加强儿童康复数据库的及时上报，加强与县财政、省市残联的沟通争取相关项目资金顺利下达。</w:t>
      </w:r>
    </w:p>
    <w:p w14:paraId="72946497">
      <w:pPr>
        <w:keepNext w:val="0"/>
        <w:keepLines w:val="0"/>
        <w:pageBreakBefore w:val="0"/>
        <w:widowControl/>
        <w:kinsoku/>
        <w:wordWrap/>
        <w:overflowPunct/>
        <w:topLinePunct/>
        <w:autoSpaceDE w:val="0"/>
        <w:autoSpaceDN/>
        <w:bidi w:val="0"/>
        <w:adjustRightInd w:val="0"/>
        <w:snapToGrid w:val="0"/>
        <w:spacing w:before="120" w:after="0" w:line="540" w:lineRule="exact"/>
        <w:ind w:firstLine="640" w:firstLineChars="200"/>
        <w:jc w:val="both"/>
        <w:textAlignment w:val="baseline"/>
        <w:rPr>
          <w:rFonts w:hint="eastAsia" w:eastAsia="宋体"/>
          <w:lang w:val="en-US" w:eastAsia="zh-CN"/>
        </w:rPr>
      </w:pPr>
      <w:r>
        <w:rPr>
          <w:rFonts w:hint="eastAsia" w:ascii="仿宋" w:hAnsi="仿宋" w:eastAsia="仿宋" w:cs="仿宋"/>
          <w:sz w:val="32"/>
          <w:szCs w:val="32"/>
        </w:rPr>
        <w:t>积极争取</w:t>
      </w:r>
      <w:r>
        <w:rPr>
          <w:rFonts w:hint="eastAsia" w:ascii="仿宋" w:hAnsi="仿宋" w:eastAsia="仿宋" w:cs="仿宋"/>
          <w:sz w:val="32"/>
          <w:szCs w:val="32"/>
          <w:lang w:eastAsia="zh-CN"/>
        </w:rPr>
        <w:t>上级</w:t>
      </w:r>
      <w:r>
        <w:rPr>
          <w:rFonts w:hint="eastAsia" w:ascii="仿宋" w:hAnsi="仿宋" w:eastAsia="仿宋" w:cs="仿宋"/>
          <w:sz w:val="32"/>
          <w:szCs w:val="32"/>
        </w:rPr>
        <w:t>康复资金；</w:t>
      </w:r>
      <w:r>
        <w:rPr>
          <w:rFonts w:ascii="仿宋_GB2312" w:hAnsi="仿宋_GB2312" w:eastAsia="仿宋_GB2312" w:cs="仿宋_GB2312"/>
          <w:kern w:val="2"/>
          <w:sz w:val="32"/>
          <w:szCs w:val="32"/>
        </w:rPr>
        <w:t>做好配套资金落实</w:t>
      </w:r>
      <w:r>
        <w:rPr>
          <w:rFonts w:hint="eastAsia" w:ascii="仿宋_GB2312" w:hAnsi="仿宋_GB2312" w:eastAsia="仿宋_GB2312" w:cs="仿宋_GB2312"/>
          <w:kern w:val="2"/>
          <w:sz w:val="32"/>
          <w:szCs w:val="32"/>
          <w:lang w:eastAsia="zh-CN"/>
        </w:rPr>
        <w:t>，</w:t>
      </w:r>
      <w:r>
        <w:rPr>
          <w:rFonts w:hint="eastAsia" w:ascii="仿宋" w:hAnsi="仿宋" w:eastAsia="仿宋" w:cs="仿宋"/>
          <w:sz w:val="32"/>
          <w:szCs w:val="32"/>
          <w:lang w:eastAsia="zh-CN"/>
        </w:rPr>
        <w:t>加强沟通，积极</w:t>
      </w:r>
      <w:r>
        <w:rPr>
          <w:rFonts w:hint="eastAsia" w:ascii="仿宋" w:hAnsi="仿宋" w:eastAsia="仿宋" w:cs="仿宋"/>
          <w:sz w:val="32"/>
          <w:szCs w:val="32"/>
        </w:rPr>
        <w:t>争取</w:t>
      </w:r>
      <w:r>
        <w:rPr>
          <w:rFonts w:hint="eastAsia" w:ascii="仿宋" w:hAnsi="仿宋" w:eastAsia="仿宋" w:cs="仿宋"/>
          <w:sz w:val="32"/>
          <w:szCs w:val="32"/>
          <w:lang w:eastAsia="zh-CN"/>
        </w:rPr>
        <w:t>县级配套资金</w:t>
      </w:r>
      <w:r>
        <w:rPr>
          <w:rFonts w:hint="eastAsia" w:ascii="仿宋" w:hAnsi="仿宋" w:eastAsia="仿宋" w:cs="仿宋"/>
          <w:sz w:val="32"/>
          <w:szCs w:val="32"/>
          <w:lang w:val="en-US" w:eastAsia="zh-CN"/>
        </w:rPr>
        <w:t>;</w:t>
      </w:r>
      <w:r>
        <w:rPr>
          <w:rFonts w:hint="eastAsia" w:ascii="仿宋_GB2312" w:hAnsi="仿宋_GB2312" w:eastAsia="仿宋_GB2312" w:cs="仿宋_GB2312"/>
          <w:kern w:val="2"/>
          <w:sz w:val="32"/>
          <w:szCs w:val="32"/>
        </w:rPr>
        <w:t>继续加大开展</w:t>
      </w:r>
      <w:r>
        <w:rPr>
          <w:rFonts w:ascii="仿宋_GB2312" w:hAnsi="仿宋_GB2312" w:eastAsia="仿宋_GB2312" w:cs="仿宋_GB2312"/>
          <w:kern w:val="2"/>
          <w:sz w:val="32"/>
          <w:szCs w:val="32"/>
        </w:rPr>
        <w:t>宣传</w:t>
      </w:r>
      <w:r>
        <w:rPr>
          <w:rFonts w:hint="eastAsia" w:ascii="仿宋_GB2312" w:hAnsi="仿宋_GB2312" w:eastAsia="仿宋_GB2312" w:cs="仿宋_GB2312"/>
          <w:kern w:val="2"/>
          <w:sz w:val="32"/>
          <w:szCs w:val="32"/>
          <w:lang w:eastAsia="zh-CN"/>
        </w:rPr>
        <w:t>，</w:t>
      </w:r>
      <w:r>
        <w:rPr>
          <w:rFonts w:ascii="仿宋_GB2312" w:hAnsi="仿宋_GB2312" w:eastAsia="仿宋_GB2312" w:cs="仿宋_GB2312"/>
          <w:kern w:val="2"/>
          <w:sz w:val="32"/>
          <w:szCs w:val="32"/>
        </w:rPr>
        <w:t>逐一排查筛查</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密切关注康复进展</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做好配套资金落实</w:t>
      </w:r>
      <w:r>
        <w:rPr>
          <w:rFonts w:hint="eastAsia" w:ascii="仿宋_GB2312" w:hAnsi="仿宋_GB2312" w:eastAsia="仿宋_GB2312" w:cs="仿宋_GB2312"/>
          <w:kern w:val="2"/>
          <w:sz w:val="32"/>
          <w:szCs w:val="32"/>
        </w:rPr>
        <w:t>、进行回访</w:t>
      </w:r>
      <w:r>
        <w:rPr>
          <w:rFonts w:ascii="仿宋_GB2312" w:hAnsi="仿宋_GB2312" w:eastAsia="仿宋_GB2312" w:cs="仿宋_GB2312"/>
          <w:kern w:val="2"/>
          <w:sz w:val="32"/>
          <w:szCs w:val="32"/>
        </w:rPr>
        <w:t>保障</w:t>
      </w:r>
      <w:r>
        <w:rPr>
          <w:rFonts w:hint="eastAsia" w:ascii="仿宋_GB2312" w:hAnsi="仿宋_GB2312" w:eastAsia="仿宋_GB2312" w:cs="仿宋_GB2312"/>
          <w:kern w:val="2"/>
          <w:sz w:val="32"/>
          <w:szCs w:val="32"/>
        </w:rPr>
        <w:t>等举措</w:t>
      </w:r>
      <w:r>
        <w:rPr>
          <w:rFonts w:hint="eastAsia" w:ascii="仿宋_GB2312" w:hAnsi="仿宋_GB2312" w:eastAsia="仿宋_GB2312" w:cs="仿宋_GB2312"/>
          <w:kern w:val="2"/>
          <w:sz w:val="32"/>
          <w:szCs w:val="32"/>
          <w:lang w:eastAsia="zh-CN"/>
        </w:rPr>
        <w:t>；</w:t>
      </w:r>
      <w:r>
        <w:rPr>
          <w:rFonts w:hint="eastAsia" w:ascii="仿宋" w:hAnsi="仿宋" w:eastAsia="仿宋" w:cs="仿宋"/>
          <w:sz w:val="32"/>
          <w:szCs w:val="32"/>
        </w:rPr>
        <w:t>增强服务意识，提高自身工作能力，更好服务残疾人。</w:t>
      </w:r>
    </w:p>
    <w:p w14:paraId="3A257133">
      <w:pPr>
        <w:keepNext w:val="0"/>
        <w:keepLines w:val="0"/>
        <w:pageBreakBefore w:val="0"/>
        <w:widowControl/>
        <w:tabs>
          <w:tab w:val="left" w:pos="336"/>
        </w:tabs>
        <w:kinsoku/>
        <w:wordWrap/>
        <w:overflowPunct/>
        <w:topLinePunct/>
        <w:autoSpaceDE w:val="0"/>
        <w:autoSpaceDN/>
        <w:bidi w:val="0"/>
        <w:adjustRightInd w:val="0"/>
        <w:snapToGrid w:val="0"/>
        <w:spacing w:before="120" w:line="540" w:lineRule="exact"/>
        <w:jc w:val="left"/>
        <w:textAlignment w:val="baseline"/>
        <w:rPr>
          <w:rFonts w:hint="eastAsia"/>
          <w:lang w:val="en-US" w:eastAsia="zh-CN"/>
        </w:rPr>
      </w:pPr>
    </w:p>
    <w:p w14:paraId="0C358311">
      <w:pPr>
        <w:pStyle w:val="8"/>
        <w:keepNext w:val="0"/>
        <w:keepLines w:val="0"/>
        <w:pageBreakBefore w:val="0"/>
        <w:kinsoku/>
        <w:wordWrap/>
        <w:overflowPunct/>
        <w:topLinePunct/>
        <w:autoSpaceDE w:val="0"/>
        <w:autoSpaceDN/>
        <w:bidi w:val="0"/>
        <w:ind w:left="419" w:leftChars="0" w:hanging="419" w:hangingChars="131"/>
        <w:rPr>
          <w:rFonts w:hint="eastAsia"/>
          <w:lang w:val="en-US" w:eastAsia="zh-CN"/>
        </w:rPr>
        <w:sectPr>
          <w:footerReference r:id="rId14" w:type="default"/>
          <w:pgSz w:w="11906" w:h="16839"/>
          <w:pgMar w:top="1431" w:right="1721" w:bottom="1156" w:left="1785" w:header="0" w:footer="994" w:gutter="0"/>
          <w:pgNumType w:fmt="decimal"/>
          <w:cols w:space="720" w:num="1"/>
        </w:sectPr>
      </w:pPr>
      <w:r>
        <w:rPr>
          <w:rFonts w:hint="eastAsia" w:ascii="仿宋" w:hAnsi="仿宋" w:eastAsia="仿宋" w:cs="仿宋"/>
          <w:spacing w:val="0"/>
          <w:sz w:val="32"/>
          <w:szCs w:val="32"/>
          <w:lang w:eastAsia="zh-CN"/>
        </w:rPr>
        <w:drawing>
          <wp:inline distT="0" distB="0" distL="114300" distR="114300">
            <wp:extent cx="5588635" cy="8696325"/>
            <wp:effectExtent l="0" t="0" r="12065" b="9525"/>
            <wp:docPr id="10" name="图片 10" descr="附1：2023年度残联项目自评表_残疾儿童康复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1：2023年度残联项目自评表_残疾儿童康复救助"/>
                    <pic:cNvPicPr>
                      <a:picLocks noChangeAspect="1"/>
                    </pic:cNvPicPr>
                  </pic:nvPicPr>
                  <pic:blipFill>
                    <a:blip r:embed="rId30"/>
                    <a:stretch>
                      <a:fillRect/>
                    </a:stretch>
                  </pic:blipFill>
                  <pic:spPr>
                    <a:xfrm>
                      <a:off x="0" y="0"/>
                      <a:ext cx="5588635" cy="8696325"/>
                    </a:xfrm>
                    <a:prstGeom prst="rect">
                      <a:avLst/>
                    </a:prstGeom>
                  </pic:spPr>
                </pic:pic>
              </a:graphicData>
            </a:graphic>
          </wp:inline>
        </w:drawing>
      </w:r>
    </w:p>
    <w:p w14:paraId="66CF56DA">
      <w:pPr>
        <w:pStyle w:val="2"/>
        <w:keepNext w:val="0"/>
        <w:keepLines w:val="0"/>
        <w:pageBreakBefore w:val="0"/>
        <w:widowControl w:val="0"/>
        <w:kinsoku/>
        <w:wordWrap/>
        <w:overflowPunct/>
        <w:topLinePunct/>
        <w:autoSpaceDE w:val="0"/>
        <w:autoSpaceDN/>
        <w:bidi w:val="0"/>
        <w:adjustRightInd w:val="0"/>
        <w:snapToGrid w:val="0"/>
        <w:spacing w:before="116" w:line="249" w:lineRule="auto"/>
        <w:ind w:left="39" w:right="81" w:firstLine="735"/>
        <w:textAlignment w:val="baseline"/>
        <w:outlineLvl w:val="2"/>
        <w:rPr>
          <w:rFonts w:ascii="宋体" w:hAnsi="宋体" w:eastAsia="宋体" w:cs="宋体"/>
          <w:spacing w:val="0"/>
          <w:sz w:val="35"/>
          <w:szCs w:val="35"/>
        </w:rPr>
      </w:pPr>
      <w:r>
        <w:rPr>
          <w:spacing w:val="0"/>
          <w:sz w:val="35"/>
          <w:szCs w:val="35"/>
        </w:rPr>
        <w:t>三</w:t>
      </w:r>
      <w:r>
        <w:rPr>
          <w:rFonts w:ascii="宋体" w:hAnsi="宋体" w:eastAsia="宋体" w:cs="宋体"/>
          <w:spacing w:val="0"/>
          <w:sz w:val="35"/>
          <w:szCs w:val="35"/>
        </w:rPr>
        <w:t>、</w:t>
      </w:r>
      <w:r>
        <w:rPr>
          <w:rFonts w:ascii="黑体" w:hAnsi="黑体" w:eastAsia="黑体" w:cs="黑体"/>
          <w:spacing w:val="0"/>
          <w:sz w:val="35"/>
          <w:szCs w:val="35"/>
        </w:rPr>
        <w:t>202</w:t>
      </w:r>
      <w:r>
        <w:rPr>
          <w:rFonts w:hint="eastAsia" w:ascii="黑体" w:hAnsi="黑体" w:eastAsia="黑体" w:cs="黑体"/>
          <w:spacing w:val="0"/>
          <w:sz w:val="35"/>
          <w:szCs w:val="35"/>
          <w:lang w:val="en-US" w:eastAsia="zh-CN"/>
        </w:rPr>
        <w:t>3</w:t>
      </w:r>
      <w:r>
        <w:rPr>
          <w:rFonts w:ascii="黑体" w:hAnsi="黑体" w:eastAsia="黑体" w:cs="黑体"/>
          <w:spacing w:val="0"/>
          <w:sz w:val="35"/>
          <w:szCs w:val="35"/>
        </w:rPr>
        <w:t xml:space="preserve"> </w:t>
      </w:r>
      <w:r>
        <w:rPr>
          <w:spacing w:val="0"/>
          <w:sz w:val="35"/>
          <w:szCs w:val="35"/>
        </w:rPr>
        <w:t>年度</w:t>
      </w:r>
      <w:r>
        <w:rPr>
          <w:rFonts w:ascii="宋体" w:hAnsi="宋体" w:eastAsia="宋体" w:cs="宋体"/>
          <w:spacing w:val="0"/>
          <w:sz w:val="35"/>
          <w:szCs w:val="35"/>
        </w:rPr>
        <w:t>代缴残疾人城乡居民医疗保险</w:t>
      </w:r>
      <w:r>
        <w:rPr>
          <w:spacing w:val="0"/>
          <w:sz w:val="35"/>
          <w:szCs w:val="35"/>
        </w:rPr>
        <w:t>项目 绩效评价</w:t>
      </w:r>
      <w:r>
        <w:rPr>
          <w:rFonts w:ascii="宋体" w:hAnsi="宋体" w:eastAsia="宋体" w:cs="宋体"/>
          <w:spacing w:val="0"/>
          <w:sz w:val="35"/>
          <w:szCs w:val="35"/>
        </w:rPr>
        <w:t>报告</w:t>
      </w:r>
    </w:p>
    <w:p w14:paraId="133BFA9F">
      <w:pPr>
        <w:pStyle w:val="2"/>
        <w:keepNext w:val="0"/>
        <w:keepLines w:val="0"/>
        <w:pageBreakBefore w:val="0"/>
        <w:widowControl w:val="0"/>
        <w:kinsoku/>
        <w:wordWrap/>
        <w:overflowPunct/>
        <w:topLinePunct/>
        <w:autoSpaceDE w:val="0"/>
        <w:autoSpaceDN/>
        <w:bidi w:val="0"/>
        <w:adjustRightInd w:val="0"/>
        <w:snapToGrid w:val="0"/>
        <w:spacing w:before="137" w:line="365" w:lineRule="auto"/>
        <w:ind w:left="25" w:firstLine="640"/>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代缴残疾人城乡居民医疗保险项目 自评得分 95 分。执 行率情况。年初预算176 万元，实际使用资金 145.54 万元，执行率 83%。完成的绩效目标。2022 年为全县 4548 名丧失 劳动能力的残疾人购买居民医疗保险。存在的问题和原因，预算数与实际支付数存在差额，由于代缴残疾人城乡居民医疗保险人数每年不定，无法准确核定人数。下一步拟改进措施，加强与业务股室的沟通交流，尽量渐少预算差额。</w:t>
      </w:r>
    </w:p>
    <w:p w14:paraId="08F88A7D">
      <w:pPr>
        <w:pStyle w:val="2"/>
        <w:keepNext w:val="0"/>
        <w:keepLines w:val="0"/>
        <w:pageBreakBefore w:val="0"/>
        <w:widowControl w:val="0"/>
        <w:kinsoku/>
        <w:wordWrap/>
        <w:overflowPunct/>
        <w:topLinePunct/>
        <w:autoSpaceDE w:val="0"/>
        <w:autoSpaceDN/>
        <w:bidi w:val="0"/>
        <w:adjustRightInd w:val="0"/>
        <w:snapToGrid w:val="0"/>
        <w:spacing w:before="79" w:line="363" w:lineRule="auto"/>
        <w:ind w:left="25" w:right="83" w:firstLine="654"/>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202</w:t>
      </w:r>
      <w:r>
        <w:rPr>
          <w:rFonts w:hint="eastAsia" w:cs="仿宋"/>
          <w:spacing w:val="0"/>
          <w:sz w:val="32"/>
          <w:szCs w:val="32"/>
          <w:lang w:val="en-US" w:eastAsia="zh-CN"/>
        </w:rPr>
        <w:t>3</w:t>
      </w:r>
      <w:r>
        <w:rPr>
          <w:rFonts w:hint="eastAsia" w:ascii="仿宋" w:hAnsi="仿宋" w:eastAsia="仿宋" w:cs="仿宋"/>
          <w:spacing w:val="0"/>
          <w:sz w:val="32"/>
          <w:szCs w:val="32"/>
        </w:rPr>
        <w:t>年年初预计为5500名符合条件的残疾人购买医 保。资金系县级财政拨款资金，用于代缴 202</w:t>
      </w:r>
      <w:r>
        <w:rPr>
          <w:rFonts w:hint="eastAsia" w:cs="仿宋"/>
          <w:spacing w:val="0"/>
          <w:sz w:val="32"/>
          <w:szCs w:val="32"/>
          <w:lang w:val="en-US" w:eastAsia="zh-CN"/>
        </w:rPr>
        <w:t>3</w:t>
      </w:r>
      <w:r>
        <w:rPr>
          <w:rFonts w:hint="eastAsia" w:ascii="仿宋" w:hAnsi="仿宋" w:eastAsia="仿宋" w:cs="仿宋"/>
          <w:spacing w:val="0"/>
          <w:sz w:val="32"/>
          <w:szCs w:val="32"/>
        </w:rPr>
        <w:t>年残疾人医疗保险。为常年性项目，一般在年底之前执行到位。</w:t>
      </w:r>
    </w:p>
    <w:p w14:paraId="31A36ADB">
      <w:pPr>
        <w:pStyle w:val="2"/>
        <w:keepNext w:val="0"/>
        <w:keepLines w:val="0"/>
        <w:pageBreakBefore w:val="0"/>
        <w:widowControl w:val="0"/>
        <w:kinsoku/>
        <w:wordWrap/>
        <w:overflowPunct/>
        <w:topLinePunct/>
        <w:autoSpaceDE w:val="0"/>
        <w:autoSpaceDN/>
        <w:bidi w:val="0"/>
        <w:adjustRightInd w:val="0"/>
        <w:snapToGrid w:val="0"/>
        <w:spacing w:before="47" w:line="366" w:lineRule="auto"/>
        <w:ind w:left="25" w:right="83" w:firstLine="653"/>
        <w:textAlignment w:val="baseline"/>
        <w:rPr>
          <w:rFonts w:hint="eastAsia" w:ascii="仿宋" w:hAnsi="仿宋" w:eastAsia="仿宋" w:cs="仿宋"/>
          <w:spacing w:val="0"/>
          <w:sz w:val="32"/>
          <w:szCs w:val="32"/>
        </w:rPr>
      </w:pPr>
      <w:r>
        <w:rPr>
          <w:rFonts w:hint="eastAsia" w:ascii="仿宋" w:hAnsi="仿宋" w:eastAsia="仿宋" w:cs="仿宋"/>
          <w:spacing w:val="0"/>
          <w:sz w:val="32"/>
          <w:szCs w:val="32"/>
        </w:rPr>
        <w:t>县级财政拨款145.54 万元及时</w:t>
      </w:r>
      <w:r>
        <w:rPr>
          <w:rFonts w:hint="eastAsia" w:ascii="仿宋" w:hAnsi="仿宋" w:eastAsia="仿宋" w:cs="仿宋"/>
          <w:color w:val="333333"/>
          <w:spacing w:val="0"/>
          <w:sz w:val="32"/>
          <w:szCs w:val="32"/>
        </w:rPr>
        <w:t>足额拨付到位。</w:t>
      </w:r>
      <w:r>
        <w:rPr>
          <w:rFonts w:hint="eastAsia" w:ascii="仿宋" w:hAnsi="仿宋" w:eastAsia="仿宋" w:cs="仿宋"/>
          <w:spacing w:val="0"/>
          <w:sz w:val="32"/>
          <w:szCs w:val="32"/>
        </w:rPr>
        <w:t>产出指标完成情况分析。实际支付145.54 万元，执行率100%。效益 指标完成情况分析。残疾人的社会保障体系逐渐完善。满意度指标完成情况分析。受助残疾人满意度达到100%。</w:t>
      </w:r>
    </w:p>
    <w:p w14:paraId="04AB2FD6">
      <w:pPr>
        <w:pStyle w:val="8"/>
        <w:keepNext w:val="0"/>
        <w:keepLines w:val="0"/>
        <w:pageBreakBefore w:val="0"/>
        <w:kinsoku/>
        <w:wordWrap/>
        <w:overflowPunct/>
        <w:topLinePunct/>
        <w:autoSpaceDE w:val="0"/>
        <w:autoSpaceDN/>
        <w:bidi w:val="0"/>
        <w:ind w:left="0" w:leftChars="0" w:firstLine="0" w:firstLineChars="0"/>
        <w:rPr>
          <w:rFonts w:hint="eastAsia" w:eastAsia="宋体"/>
          <w:spacing w:val="0"/>
          <w:lang w:eastAsia="zh-CN"/>
        </w:rPr>
      </w:pPr>
      <w:r>
        <w:rPr>
          <w:rFonts w:hint="eastAsia" w:ascii="仿宋" w:hAnsi="仿宋" w:eastAsia="仿宋" w:cs="仿宋"/>
          <w:spacing w:val="0"/>
          <w:sz w:val="32"/>
          <w:szCs w:val="32"/>
          <w:lang w:eastAsia="zh-CN"/>
        </w:rPr>
        <w:drawing>
          <wp:inline distT="0" distB="0" distL="114300" distR="114300">
            <wp:extent cx="5210175" cy="8475980"/>
            <wp:effectExtent l="0" t="0" r="9525" b="1270"/>
            <wp:docPr id="14" name="图片 14" descr="附1：2023年度残联项目自评表_代缴残疾人城乡居民医疗保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1：2023年度残联项目自评表_代缴残疾人城乡居民医疗保险"/>
                    <pic:cNvPicPr>
                      <a:picLocks noChangeAspect="1"/>
                    </pic:cNvPicPr>
                  </pic:nvPicPr>
                  <pic:blipFill>
                    <a:blip r:embed="rId31"/>
                    <a:stretch>
                      <a:fillRect/>
                    </a:stretch>
                  </pic:blipFill>
                  <pic:spPr>
                    <a:xfrm>
                      <a:off x="0" y="0"/>
                      <a:ext cx="5210175" cy="8475980"/>
                    </a:xfrm>
                    <a:prstGeom prst="rect">
                      <a:avLst/>
                    </a:prstGeom>
                  </pic:spPr>
                </pic:pic>
              </a:graphicData>
            </a:graphic>
          </wp:inline>
        </w:drawing>
      </w:r>
    </w:p>
    <w:sectPr>
      <w:footerReference r:id="rId15" w:type="default"/>
      <w:pgSz w:w="11906" w:h="16839"/>
      <w:pgMar w:top="1871" w:right="1899" w:bottom="1213" w:left="1785" w:header="0" w:footer="994"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FDFBC38-2A09-4318-A58C-C159992E0677}"/>
  </w:font>
  <w:font w:name="黑体">
    <w:panose1 w:val="02010609060101010101"/>
    <w:charset w:val="86"/>
    <w:family w:val="auto"/>
    <w:pitch w:val="default"/>
    <w:sig w:usb0="800002BF" w:usb1="38CF7CFA" w:usb2="00000016" w:usb3="00000000" w:csb0="00040001" w:csb1="00000000"/>
    <w:embedRegular r:id="rId2" w:fontKey="{504A95F9-84EF-47FA-B6D7-E86CC971BB9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1F2027F-EFC3-41A1-AA24-19FAB0C2A4A9}"/>
  </w:font>
  <w:font w:name="仿宋">
    <w:panose1 w:val="02010609060101010101"/>
    <w:charset w:val="86"/>
    <w:family w:val="auto"/>
    <w:pitch w:val="default"/>
    <w:sig w:usb0="800002BF" w:usb1="38CF7CFA" w:usb2="00000016" w:usb3="00000000" w:csb0="00040001" w:csb1="00000000"/>
    <w:embedRegular r:id="rId4" w:fontKey="{5FD3E435-A523-4CF3-91CF-B5FBB14E0B2B}"/>
  </w:font>
  <w:font w:name="方正小标宋简体">
    <w:panose1 w:val="02000000000000000000"/>
    <w:charset w:val="86"/>
    <w:family w:val="auto"/>
    <w:pitch w:val="default"/>
    <w:sig w:usb0="00000001" w:usb1="08000000" w:usb2="00000000" w:usb3="00000000" w:csb0="00040000" w:csb1="00000000"/>
    <w:embedRegular r:id="rId5" w:fontKey="{5BE879F9-7EC9-4308-BDC9-3749791693E6}"/>
  </w:font>
  <w:font w:name="楷体">
    <w:panose1 w:val="02010609060101010101"/>
    <w:charset w:val="86"/>
    <w:family w:val="auto"/>
    <w:pitch w:val="default"/>
    <w:sig w:usb0="800002BF" w:usb1="38CF7CFA" w:usb2="00000016" w:usb3="00000000" w:csb0="00040001" w:csb1="00000000"/>
    <w:embedRegular r:id="rId6" w:fontKey="{9A6CEE93-1CB3-4BB5-B22D-D41CB950FFD9}"/>
  </w:font>
  <w:font w:name="方正楷体_GBK">
    <w:panose1 w:val="02000000000000000000"/>
    <w:charset w:val="86"/>
    <w:family w:val="auto"/>
    <w:pitch w:val="default"/>
    <w:sig w:usb0="800002BF" w:usb1="38CF7CFA" w:usb2="00000016" w:usb3="00000000" w:csb0="00040000" w:csb1="00000000"/>
    <w:embedRegular r:id="rId7" w:fontKey="{1518866E-84B2-4926-9AC8-5B97D74A0D0D}"/>
  </w:font>
  <w:font w:name="仿宋_GB2312">
    <w:altName w:val="仿宋"/>
    <w:panose1 w:val="02010609030101010101"/>
    <w:charset w:val="86"/>
    <w:family w:val="modern"/>
    <w:pitch w:val="default"/>
    <w:sig w:usb0="00000000" w:usb1="00000000" w:usb2="00000000" w:usb3="00000000" w:csb0="00040000" w:csb1="00000000"/>
    <w:embedRegular r:id="rId8" w:fontKey="{CF2F155C-1870-4D7D-8301-7B3A4FF5403F}"/>
  </w:font>
  <w:font w:name="楷体_GB2312">
    <w:altName w:val="楷体"/>
    <w:panose1 w:val="02010609030101010101"/>
    <w:charset w:val="86"/>
    <w:family w:val="modern"/>
    <w:pitch w:val="default"/>
    <w:sig w:usb0="00000000" w:usb1="00000000" w:usb2="00000000" w:usb3="00000000" w:csb0="00040000" w:csb1="00000000"/>
    <w:embedRegular r:id="rId9" w:fontKey="{5BC81FAD-2F3B-41A1-9028-0E14A4B03CD4}"/>
  </w:font>
  <w:font w:name="等线">
    <w:altName w:val="微软雅黑"/>
    <w:panose1 w:val="00000000000000000000"/>
    <w:charset w:val="86"/>
    <w:family w:val="auto"/>
    <w:pitch w:val="default"/>
    <w:sig w:usb0="00000000" w:usb1="00000000" w:usb2="00000016" w:usb3="00000000" w:csb0="0004000F" w:csb1="00000000"/>
    <w:embedRegular r:id="rId10" w:fontKey="{5F6A6CB7-384A-4730-9F67-64EEB6F2492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6F1F">
    <w:pPr>
      <w:spacing w:line="176" w:lineRule="auto"/>
      <w:ind w:left="4143"/>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7A0F">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5FA0F">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8096">
    <w:pPr>
      <w:spacing w:line="176" w:lineRule="auto"/>
      <w:ind w:left="4126"/>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D788">
    <w:pPr>
      <w:spacing w:line="176" w:lineRule="auto"/>
      <w:ind w:left="4125"/>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66A53">
    <w:pPr>
      <w:spacing w:line="176" w:lineRule="auto"/>
      <w:ind w:left="4130"/>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FE363">
    <w:pPr>
      <w:spacing w:line="173" w:lineRule="auto"/>
      <w:ind w:left="4129"/>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DB634">
    <w:pPr>
      <w:spacing w:line="176" w:lineRule="auto"/>
      <w:ind w:left="4133"/>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4C40E">
    <w:pPr>
      <w:spacing w:line="176" w:lineRule="auto"/>
      <w:ind w:left="4130"/>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20591">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8A9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D59902"/>
    <w:multiLevelType w:val="singleLevel"/>
    <w:tmpl w:val="DCD59902"/>
    <w:lvl w:ilvl="0" w:tentative="0">
      <w:start w:val="4"/>
      <w:numFmt w:val="chineseCounting"/>
      <w:suff w:val="space"/>
      <w:lvlText w:val="第%1部分"/>
      <w:lvlJc w:val="left"/>
      <w:pPr>
        <w:ind w:left="70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g4YmZhYzVmY2I5YTg2Nzc0NWUzNTY0ZjRiZjgxZTIifQ=="/>
  </w:docVars>
  <w:rsids>
    <w:rsidRoot w:val="00000000"/>
    <w:rsid w:val="017D31AE"/>
    <w:rsid w:val="019F04CB"/>
    <w:rsid w:val="09137F54"/>
    <w:rsid w:val="0A4800D1"/>
    <w:rsid w:val="0B381EF4"/>
    <w:rsid w:val="0F3D5D2B"/>
    <w:rsid w:val="17333191"/>
    <w:rsid w:val="1BE3688E"/>
    <w:rsid w:val="20605D1D"/>
    <w:rsid w:val="21871088"/>
    <w:rsid w:val="251470D6"/>
    <w:rsid w:val="289D3530"/>
    <w:rsid w:val="314D19A6"/>
    <w:rsid w:val="4182744A"/>
    <w:rsid w:val="4C494176"/>
    <w:rsid w:val="4DCB4E5A"/>
    <w:rsid w:val="51063B27"/>
    <w:rsid w:val="518731FF"/>
    <w:rsid w:val="52E47FA5"/>
    <w:rsid w:val="53D24CC0"/>
    <w:rsid w:val="548A4D7D"/>
    <w:rsid w:val="595955D7"/>
    <w:rsid w:val="5ABC4C18"/>
    <w:rsid w:val="60CA4511"/>
    <w:rsid w:val="6FAFD4E6"/>
    <w:rsid w:val="76FF6946"/>
    <w:rsid w:val="78C078BF"/>
    <w:rsid w:val="7A4543A9"/>
    <w:rsid w:val="7EFDAD1C"/>
    <w:rsid w:val="9B7AB1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Body Text Indent"/>
    <w:basedOn w:val="1"/>
    <w:qFormat/>
    <w:uiPriority w:val="0"/>
    <w:pPr>
      <w:spacing w:after="120"/>
      <w:ind w:left="420" w:leftChars="200"/>
    </w:pPr>
  </w:style>
  <w:style w:type="paragraph" w:styleId="4">
    <w:name w:val="Balloon Text"/>
    <w:basedOn w:val="1"/>
    <w:unhideWhenUsed/>
    <w:qFormat/>
    <w:uiPriority w:val="0"/>
    <w:rPr>
      <w:rFonts w:eastAsia="Times New Roman"/>
      <w:kern w:val="0"/>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8">
    <w:name w:val="Body Text First Indent 2"/>
    <w:basedOn w:val="3"/>
    <w:qFormat/>
    <w:uiPriority w:val="0"/>
    <w:pPr>
      <w:ind w:firstLine="420" w:firstLineChars="200"/>
    </w:p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33</Pages>
  <Words>9837</Words>
  <Characters>10715</Characters>
  <TotalTime>4</TotalTime>
  <ScaleCrop>false</ScaleCrop>
  <LinksUpToDate>false</LinksUpToDate>
  <CharactersWithSpaces>10866</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2023-10-14T02:51:00Z</dcterms:created>
  <dc:creator>Administrator</dc:creator>
  <cp:lastModifiedBy>蔚翊</cp:lastModifiedBy>
  <cp:lastPrinted>2024-09-29T08:47:00Z</cp:lastPrinted>
  <dcterms:modified xsi:type="dcterms:W3CDTF">2024-09-29T09:33:29Z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2024-09-18T15:29:13Z</vt:filetime>
  </property>
  <property fmtid="{D5CDD505-2E9C-101B-9397-08002B2CF9AE}" pid="4" name="KSOProductBuildVer">
    <vt:lpwstr>2052-12.1.0.18276</vt:lpwstr>
  </property>
  <property fmtid="{D5CDD505-2E9C-101B-9397-08002B2CF9AE}" pid="5" name="ICV">
    <vt:lpwstr>B6BCA8BF2D25477FBABCC711890954E1_13</vt:lpwstr>
  </property>
</Properties>
</file>