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附件3</w:t>
      </w:r>
    </w:p>
    <w:p>
      <w:pPr>
        <w:keepNext w:val="0"/>
        <w:keepLines w:val="0"/>
        <w:pageBreakBefore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bCs/>
          <w:color w:val="auto"/>
          <w:sz w:val="36"/>
          <w:szCs w:val="44"/>
        </w:rPr>
      </w:pPr>
    </w:p>
    <w:p>
      <w:pPr>
        <w:keepNext w:val="0"/>
        <w:keepLines w:val="0"/>
        <w:pageBreakBefore w:val="0"/>
        <w:kinsoku/>
        <w:wordWrap/>
        <w:overflowPunct/>
        <w:topLinePunct w:val="0"/>
        <w:autoSpaceDE/>
        <w:autoSpaceDN/>
        <w:bidi w:val="0"/>
        <w:adjustRightInd/>
        <w:snapToGrid/>
        <w:spacing w:line="570" w:lineRule="exact"/>
        <w:ind w:firstLine="640" w:firstLineChars="200"/>
        <w:jc w:val="center"/>
        <w:textAlignment w:val="auto"/>
        <w:rPr>
          <w:rFonts w:hint="default" w:ascii="Times New Roman" w:hAnsi="Times New Roman" w:eastAsia="方正公文小标宋" w:cs="Times New Roman"/>
          <w:b w:val="0"/>
          <w:bCs/>
          <w:color w:val="auto"/>
          <w:sz w:val="32"/>
          <w:szCs w:val="32"/>
        </w:rPr>
      </w:pPr>
      <w:r>
        <w:rPr>
          <w:rFonts w:hint="default" w:ascii="Times New Roman" w:hAnsi="Times New Roman" w:eastAsia="方正公文小标宋" w:cs="Times New Roman"/>
          <w:b w:val="0"/>
          <w:bCs/>
          <w:color w:val="auto"/>
          <w:sz w:val="32"/>
          <w:szCs w:val="32"/>
        </w:rPr>
        <w:t>崇阳县2023年绿色种养循环农业试点项目</w:t>
      </w:r>
    </w:p>
    <w:p>
      <w:pPr>
        <w:keepNext w:val="0"/>
        <w:keepLines w:val="0"/>
        <w:pageBreakBefore w:val="0"/>
        <w:kinsoku/>
        <w:wordWrap/>
        <w:overflowPunct/>
        <w:topLinePunct w:val="0"/>
        <w:autoSpaceDE/>
        <w:autoSpaceDN/>
        <w:bidi w:val="0"/>
        <w:adjustRightInd/>
        <w:snapToGrid/>
        <w:spacing w:line="570" w:lineRule="exact"/>
        <w:ind w:firstLine="640" w:firstLineChars="200"/>
        <w:jc w:val="center"/>
        <w:textAlignment w:val="auto"/>
        <w:rPr>
          <w:rFonts w:hint="default" w:ascii="Times New Roman" w:hAnsi="Times New Roman" w:eastAsia="方正公文小标宋" w:cs="Times New Roman"/>
          <w:b w:val="0"/>
          <w:bCs/>
          <w:color w:val="auto"/>
          <w:sz w:val="32"/>
          <w:szCs w:val="32"/>
        </w:rPr>
      </w:pPr>
      <w:r>
        <w:rPr>
          <w:rFonts w:hint="default" w:ascii="Times New Roman" w:hAnsi="Times New Roman" w:eastAsia="方正公文小标宋" w:cs="Times New Roman"/>
          <w:b w:val="0"/>
          <w:bCs/>
          <w:color w:val="auto"/>
          <w:sz w:val="32"/>
          <w:szCs w:val="32"/>
        </w:rPr>
        <w:t>转移支付2023年度绩效自评报告</w:t>
      </w:r>
    </w:p>
    <w:p>
      <w:pPr>
        <w:keepNext w:val="0"/>
        <w:keepLines w:val="0"/>
        <w:pageBreakBefore w:val="0"/>
        <w:kinsoku/>
        <w:wordWrap/>
        <w:overflowPunct/>
        <w:topLinePunct w:val="0"/>
        <w:autoSpaceDE/>
        <w:autoSpaceDN/>
        <w:bidi w:val="0"/>
        <w:adjustRightInd/>
        <w:snapToGrid/>
        <w:spacing w:line="570" w:lineRule="exact"/>
        <w:textAlignment w:val="auto"/>
        <w:rPr>
          <w:rFonts w:hint="default" w:ascii="Times New Roman" w:hAnsi="Times New Roman" w:eastAsia="黑体" w:cs="Times New Roman"/>
          <w:bCs/>
          <w:color w:val="auto"/>
          <w:sz w:val="32"/>
          <w:szCs w:val="32"/>
        </w:rPr>
      </w:pPr>
    </w:p>
    <w:p>
      <w:pPr>
        <w:keepNext w:val="0"/>
        <w:keepLines w:val="0"/>
        <w:pageBreakBefore w:val="0"/>
        <w:kinsoku/>
        <w:wordWrap/>
        <w:overflowPunct/>
        <w:topLinePunct w:val="0"/>
        <w:autoSpaceDE/>
        <w:autoSpaceDN/>
        <w:bidi w:val="0"/>
        <w:adjustRightInd/>
        <w:snapToGrid/>
        <w:spacing w:line="570" w:lineRule="exact"/>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一、绩效目标分解下达情况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2023年中央下达我县绿色种养循环农业试点专项转移支付资金1000万元，支持</w:t>
      </w:r>
      <w:r>
        <w:rPr>
          <w:rFonts w:hint="default" w:ascii="Times New Roman" w:hAnsi="Times New Roman" w:eastAsia="仿宋_GB2312" w:cs="Times New Roman"/>
          <w:color w:val="auto"/>
          <w:sz w:val="32"/>
          <w:szCs w:val="32"/>
          <w:lang w:val="en-US" w:eastAsia="zh-CN"/>
        </w:rPr>
        <w:t>2023年</w:t>
      </w:r>
      <w:r>
        <w:rPr>
          <w:rFonts w:hint="default" w:ascii="Times New Roman" w:hAnsi="Times New Roman" w:eastAsia="仿宋_GB2312" w:cs="Times New Roman"/>
          <w:color w:val="auto"/>
          <w:sz w:val="32"/>
          <w:szCs w:val="32"/>
        </w:rPr>
        <w:t>绿色种养循环农业试点</w:t>
      </w:r>
      <w:r>
        <w:rPr>
          <w:rFonts w:hint="default" w:ascii="Times New Roman" w:hAnsi="Times New Roman" w:eastAsia="仿宋_GB2312" w:cs="Times New Roman"/>
          <w:color w:val="auto"/>
          <w:sz w:val="32"/>
          <w:szCs w:val="32"/>
          <w:lang w:val="en-US" w:eastAsia="zh-CN"/>
        </w:rPr>
        <w:t>项目</w:t>
      </w:r>
      <w:r>
        <w:rPr>
          <w:rFonts w:hint="default" w:ascii="Times New Roman" w:hAnsi="Times New Roman" w:eastAsia="仿宋_GB2312" w:cs="Times New Roman"/>
          <w:color w:val="auto"/>
          <w:sz w:val="32"/>
          <w:szCs w:val="32"/>
        </w:rPr>
        <w:t>。项目主要绩效目标为:</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0" w:firstLineChars="0"/>
        <w:textAlignment w:val="auto"/>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完成项目试点面积10万亩以上。</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0" w:firstLineChars="0"/>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畜禽粪肥资源化利用率达到90%以上。</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0" w:firstLineChars="0"/>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通过试点工作，建立起以市场化运作为主、政府引导为辅的粪肥还田专业服务组织和运营模式，促进畜禽粪污资源化利用，辐射带动大面积化肥减量增效。</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0" w:firstLineChars="0"/>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无资金使用重大违规违纪问题。</w:t>
      </w:r>
    </w:p>
    <w:p>
      <w:pPr>
        <w:keepNext w:val="0"/>
        <w:keepLines w:val="0"/>
        <w:pageBreakBefore w:val="0"/>
        <w:kinsoku/>
        <w:wordWrap/>
        <w:overflowPunct/>
        <w:topLinePunct w:val="0"/>
        <w:autoSpaceDE/>
        <w:autoSpaceDN/>
        <w:bidi w:val="0"/>
        <w:adjustRightInd/>
        <w:snapToGrid/>
        <w:spacing w:line="570" w:lineRule="exact"/>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二、绩效情况分析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default" w:ascii="Times New Roman" w:hAnsi="Times New Roman" w:eastAsia="楷体_GB2312" w:cs="Times New Roman"/>
          <w:b w:val="0"/>
          <w:bCs w:val="0"/>
          <w:color w:val="auto"/>
          <w:sz w:val="32"/>
          <w:szCs w:val="32"/>
        </w:rPr>
      </w:pPr>
      <w:r>
        <w:rPr>
          <w:rFonts w:hint="default" w:ascii="Times New Roman" w:hAnsi="Times New Roman" w:eastAsia="楷体_GB2312" w:cs="Times New Roman"/>
          <w:b w:val="0"/>
          <w:bCs w:val="0"/>
          <w:color w:val="auto"/>
          <w:sz w:val="32"/>
          <w:szCs w:val="32"/>
        </w:rPr>
        <w:t>（一）资金投入情况分析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项目总资金为1000万元，由省财政厅于2023年10月直接拨付到本县财政局。12月31日，本县财政局拨付到崇阳县农业农村局1000万元，资金到位率100</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截止至2024年2月2日，</w:t>
      </w:r>
      <w:r>
        <w:rPr>
          <w:rFonts w:hint="default" w:ascii="Times New Roman" w:hAnsi="Times New Roman" w:eastAsia="仿宋_GB2312" w:cs="Times New Roman"/>
          <w:color w:val="auto"/>
          <w:sz w:val="32"/>
          <w:szCs w:val="32"/>
        </w:rPr>
        <w:t>项目</w:t>
      </w:r>
      <w:r>
        <w:rPr>
          <w:rFonts w:hint="default" w:ascii="Times New Roman" w:hAnsi="Times New Roman" w:eastAsia="仿宋_GB2312" w:cs="Times New Roman"/>
          <w:color w:val="auto"/>
          <w:sz w:val="32"/>
          <w:szCs w:val="32"/>
          <w:lang w:val="en-US" w:eastAsia="zh-CN"/>
        </w:rPr>
        <w:t>资金已</w:t>
      </w:r>
      <w:r>
        <w:rPr>
          <w:rFonts w:hint="default" w:ascii="Times New Roman" w:hAnsi="Times New Roman" w:eastAsia="仿宋_GB2312" w:cs="Times New Roman"/>
          <w:color w:val="auto"/>
          <w:sz w:val="32"/>
          <w:szCs w:val="32"/>
        </w:rPr>
        <w:t>支出</w:t>
      </w:r>
      <w:r>
        <w:rPr>
          <w:rFonts w:hint="default" w:ascii="Times New Roman" w:hAnsi="Times New Roman" w:eastAsia="仿宋_GB2312" w:cs="Times New Roman"/>
          <w:color w:val="auto"/>
          <w:sz w:val="32"/>
          <w:szCs w:val="32"/>
          <w:lang w:val="en-US" w:eastAsia="zh-CN"/>
        </w:rPr>
        <w:t>442</w:t>
      </w:r>
      <w:r>
        <w:rPr>
          <w:rFonts w:hint="default" w:ascii="Times New Roman" w:hAnsi="Times New Roman" w:eastAsia="仿宋_GB2312" w:cs="Times New Roman"/>
          <w:color w:val="auto"/>
          <w:sz w:val="32"/>
          <w:szCs w:val="32"/>
        </w:rPr>
        <w:t>万元，执行率</w:t>
      </w:r>
      <w:r>
        <w:rPr>
          <w:rFonts w:hint="default" w:ascii="Times New Roman" w:hAnsi="Times New Roman" w:eastAsia="仿宋_GB2312" w:cs="Times New Roman"/>
          <w:color w:val="auto"/>
          <w:sz w:val="32"/>
          <w:szCs w:val="32"/>
          <w:lang w:val="en-US" w:eastAsia="zh-CN"/>
        </w:rPr>
        <w:t>44.2</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剩余558</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val="en-US" w:eastAsia="zh-CN"/>
        </w:rPr>
        <w:t>根据项目目标完成情况分批次</w:t>
      </w:r>
      <w:r>
        <w:rPr>
          <w:rFonts w:hint="default" w:ascii="Times New Roman" w:hAnsi="Times New Roman" w:eastAsia="仿宋_GB2312" w:cs="Times New Roman"/>
          <w:color w:val="auto"/>
          <w:sz w:val="32"/>
          <w:szCs w:val="32"/>
        </w:rPr>
        <w:t>申请拨付。2024年</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月3</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日前，预计执行进度</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以上</w:t>
      </w:r>
      <w:r>
        <w:rPr>
          <w:rFonts w:hint="default" w:ascii="Times New Roman" w:hAnsi="Times New Roman" w:eastAsia="仿宋_GB2312" w:cs="Times New Roman"/>
          <w:color w:val="auto"/>
          <w:sz w:val="32"/>
          <w:szCs w:val="32"/>
        </w:rPr>
        <w:t>。截至目前，资金使用无重大违规违纪问题。计划到2024年</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月底，资金全部执行完毕，预算执行率100%。</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outlineLvl w:val="0"/>
        <w:rPr>
          <w:rFonts w:hint="default" w:ascii="Times New Roman" w:hAnsi="Times New Roman" w:eastAsia="楷体_GB2312" w:cs="Times New Roman"/>
          <w:b w:val="0"/>
          <w:bCs w:val="0"/>
          <w:color w:val="auto"/>
          <w:sz w:val="32"/>
          <w:szCs w:val="32"/>
          <w:lang w:val="en-US" w:eastAsia="zh-CN"/>
        </w:rPr>
      </w:pPr>
      <w:r>
        <w:rPr>
          <w:rFonts w:hint="eastAsia" w:ascii="Times New Roman" w:hAnsi="Times New Roman" w:eastAsia="楷体_GB2312" w:cs="Times New Roman"/>
          <w:b w:val="0"/>
          <w:bCs w:val="0"/>
          <w:color w:val="auto"/>
          <w:sz w:val="32"/>
          <w:szCs w:val="32"/>
          <w:lang w:val="en-US" w:eastAsia="zh-CN"/>
        </w:rPr>
        <w:t>（二）</w:t>
      </w:r>
      <w:r>
        <w:rPr>
          <w:rFonts w:hint="default" w:ascii="Times New Roman" w:hAnsi="Times New Roman" w:eastAsia="楷体_GB2312" w:cs="Times New Roman"/>
          <w:b w:val="0"/>
          <w:bCs w:val="0"/>
          <w:color w:val="auto"/>
          <w:sz w:val="32"/>
          <w:szCs w:val="32"/>
          <w:lang w:val="en-US" w:eastAsia="zh-CN"/>
        </w:rPr>
        <w:t>资金管理情况分析</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auto"/>
          <w:sz w:val="32"/>
          <w:szCs w:val="32"/>
          <w:lang w:val="en-US" w:eastAsia="zh-CN"/>
        </w:rPr>
        <w:t>为了规范项目资金管理，我区严格按照财政部和原农业部印发的《农业生产资金管理办法》规定管理项目资金，实行项目资金专账管理，确保专项资金的拨付和使用有严格的审批程序和手续，通过公开招标对试点项目补助对象、补助环节和补助标准进行明确，在资金使用上严格执行“六不准”原则，规范资金使用，严格资金监管，提高资金使用效率，确保资金使用安全。同时，建立项目资金使用台账，认真做好项目日常核查管理工作，规范实施还田台账管理，经严格考核验收后再拨付资金。</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outlineLvl w:val="1"/>
        <w:rPr>
          <w:rFonts w:hint="default" w:ascii="Times New Roman" w:hAnsi="Times New Roman" w:eastAsia="仿宋_GB2312" w:cs="Times New Roman"/>
          <w:b w:val="0"/>
          <w:bCs/>
          <w:color w:val="auto"/>
          <w:sz w:val="32"/>
          <w:szCs w:val="32"/>
        </w:rPr>
      </w:pPr>
      <w:r>
        <w:rPr>
          <w:rFonts w:hint="eastAsia" w:ascii="Times New Roman" w:hAnsi="Times New Roman" w:eastAsia="楷体_GB2312" w:cs="Times New Roman"/>
          <w:b w:val="0"/>
          <w:bCs/>
          <w:color w:val="auto"/>
          <w:sz w:val="32"/>
          <w:szCs w:val="32"/>
          <w:lang w:eastAsia="zh-CN"/>
        </w:rPr>
        <w:t>（</w:t>
      </w:r>
      <w:r>
        <w:rPr>
          <w:rFonts w:hint="eastAsia" w:ascii="Times New Roman" w:hAnsi="Times New Roman" w:eastAsia="楷体_GB2312" w:cs="Times New Roman"/>
          <w:b w:val="0"/>
          <w:bCs/>
          <w:color w:val="auto"/>
          <w:sz w:val="32"/>
          <w:szCs w:val="32"/>
          <w:lang w:val="en-US" w:eastAsia="zh-CN"/>
        </w:rPr>
        <w:t>三</w:t>
      </w:r>
      <w:r>
        <w:rPr>
          <w:rFonts w:hint="eastAsia" w:ascii="Times New Roman" w:hAnsi="Times New Roman" w:eastAsia="楷体_GB2312" w:cs="Times New Roman"/>
          <w:b w:val="0"/>
          <w:bCs/>
          <w:color w:val="auto"/>
          <w:sz w:val="32"/>
          <w:szCs w:val="32"/>
          <w:lang w:eastAsia="zh-CN"/>
        </w:rPr>
        <w:t>）</w:t>
      </w:r>
      <w:r>
        <w:rPr>
          <w:rFonts w:hint="default" w:ascii="Times New Roman" w:hAnsi="Times New Roman" w:eastAsia="楷体_GB2312" w:cs="Times New Roman"/>
          <w:b w:val="0"/>
          <w:bCs/>
          <w:color w:val="auto"/>
          <w:sz w:val="32"/>
          <w:szCs w:val="32"/>
        </w:rPr>
        <w:t>总体绩效目标完成情况分析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val="0"/>
          <w:bCs w:val="0"/>
          <w:color w:val="auto"/>
          <w:sz w:val="32"/>
          <w:szCs w:val="32"/>
          <w:lang w:val="en-US" w:eastAsia="zh-CN"/>
        </w:rPr>
        <w:t>总体任务目标：</w:t>
      </w:r>
      <w:r>
        <w:rPr>
          <w:rFonts w:hint="default" w:ascii="Times New Roman" w:hAnsi="Times New Roman" w:eastAsia="仿宋_GB2312" w:cs="Times New Roman"/>
          <w:color w:val="auto"/>
          <w:sz w:val="32"/>
          <w:szCs w:val="32"/>
          <w:lang w:val="en-US" w:eastAsia="zh-CN"/>
        </w:rPr>
        <w:t>2023年全县计划完成绿色种养循环农业试点面积10万亩以上，畜禽粪肥资源化利用率达到90%以上，建设一个集约化多模式还田利用示范片，示范面积1000亩。建立健全粪肥还田监管体系和制度，推广经济高效、灵活多样的技术模式，探索适应崇阳实际、具有崇阳特色的粪肥处理还田利用方式，实现“两减”“三个提高”。</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bCs w:val="0"/>
          <w:color w:val="auto"/>
          <w:sz w:val="32"/>
          <w:szCs w:val="32"/>
          <w:lang w:val="en-US" w:eastAsia="zh-CN"/>
        </w:rPr>
        <w:t>总体任务目标完成情况：</w:t>
      </w:r>
      <w:r>
        <w:rPr>
          <w:rFonts w:hint="default" w:ascii="Times New Roman" w:hAnsi="Times New Roman" w:eastAsia="仿宋_GB2312" w:cs="Times New Roman"/>
          <w:color w:val="auto"/>
          <w:sz w:val="32"/>
          <w:szCs w:val="32"/>
        </w:rPr>
        <w:t>试点面积落实情况：崇阳县以肖岭、沙坪、石城、天城、白霓、青山、路口、港口等8个乡镇，截止</w:t>
      </w:r>
      <w:r>
        <w:rPr>
          <w:rFonts w:hint="default" w:ascii="Times New Roman" w:hAnsi="Times New Roman" w:eastAsia="仿宋_GB2312" w:cs="Times New Roman"/>
          <w:color w:val="auto"/>
          <w:sz w:val="32"/>
          <w:szCs w:val="32"/>
          <w:lang w:val="en-US" w:eastAsia="zh-CN"/>
        </w:rPr>
        <w:t>2024年</w:t>
      </w:r>
      <w:r>
        <w:rPr>
          <w:rFonts w:hint="default" w:ascii="Times New Roman" w:hAnsi="Times New Roman" w:eastAsia="仿宋_GB2312" w:cs="Times New Roman"/>
          <w:color w:val="auto"/>
          <w:sz w:val="32"/>
          <w:szCs w:val="32"/>
        </w:rPr>
        <w:t>至</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lang w:val="en-US" w:eastAsia="zh-CN"/>
        </w:rPr>
        <w:t>中旬</w:t>
      </w:r>
      <w:r>
        <w:rPr>
          <w:rFonts w:hint="default" w:ascii="Times New Roman" w:hAnsi="Times New Roman" w:eastAsia="仿宋_GB2312" w:cs="Times New Roman"/>
          <w:color w:val="auto"/>
          <w:sz w:val="32"/>
          <w:szCs w:val="32"/>
        </w:rPr>
        <w:t>，已完成</w:t>
      </w:r>
      <w:r>
        <w:rPr>
          <w:rFonts w:hint="default" w:ascii="Times New Roman" w:hAnsi="Times New Roman" w:eastAsia="仿宋_GB2312" w:cs="Times New Roman"/>
          <w:color w:val="auto"/>
          <w:sz w:val="32"/>
          <w:szCs w:val="32"/>
          <w:lang w:val="en-US" w:eastAsia="zh-CN"/>
        </w:rPr>
        <w:t>还田面积12.8万亩，其中</w:t>
      </w:r>
      <w:r>
        <w:rPr>
          <w:rFonts w:hint="default" w:ascii="Times New Roman" w:hAnsi="Times New Roman" w:eastAsia="仿宋_GB2312" w:cs="Times New Roman"/>
          <w:color w:val="auto"/>
          <w:sz w:val="32"/>
          <w:szCs w:val="32"/>
        </w:rPr>
        <w:t>液体粪肥还田</w:t>
      </w:r>
      <w:r>
        <w:rPr>
          <w:rFonts w:hint="default" w:ascii="Times New Roman" w:hAnsi="Times New Roman" w:eastAsia="仿宋_GB2312" w:cs="Times New Roman"/>
          <w:color w:val="auto"/>
          <w:sz w:val="32"/>
          <w:szCs w:val="32"/>
          <w:lang w:val="en-US" w:eastAsia="zh-CN"/>
        </w:rPr>
        <w:t>9.45</w:t>
      </w:r>
      <w:r>
        <w:rPr>
          <w:rFonts w:hint="default" w:ascii="Times New Roman" w:hAnsi="Times New Roman" w:eastAsia="仿宋_GB2312" w:cs="Times New Roman"/>
          <w:color w:val="auto"/>
          <w:sz w:val="32"/>
          <w:szCs w:val="32"/>
        </w:rPr>
        <w:t>万亩</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固体粪肥还田3.35万亩，超额完成项目区10万亩以上还田面积任务目标，建设示范区面积1800亩。结合我县实际，采用“1+N”模式，即遴选了2家综合实力较强、组织管理有力的第三方服务主体带领一批业内主体开展还田工作。一是采取</w:t>
      </w:r>
      <w:r>
        <w:rPr>
          <w:rFonts w:hint="default" w:ascii="Times New Roman" w:hAnsi="Times New Roman" w:eastAsia="仿宋_GB2312" w:cs="Times New Roman"/>
          <w:color w:val="auto"/>
          <w:sz w:val="32"/>
          <w:szCs w:val="32"/>
          <w:lang w:eastAsia="zh-CN"/>
        </w:rPr>
        <w:t>“养殖户+粪肥还田服务组织+种植基地”的液体粪肥还田模式，</w:t>
      </w:r>
      <w:r>
        <w:rPr>
          <w:rFonts w:hint="default" w:ascii="Times New Roman" w:hAnsi="Times New Roman" w:eastAsia="仿宋_GB2312" w:cs="Times New Roman"/>
          <w:color w:val="auto"/>
          <w:sz w:val="32"/>
          <w:szCs w:val="32"/>
          <w:lang w:val="en-US" w:eastAsia="zh-CN"/>
        </w:rPr>
        <w:t>二是“粪肥还田服务组织（堆肥发酵）+种植基地”的固体粪肥</w:t>
      </w:r>
      <w:r>
        <w:rPr>
          <w:rFonts w:hint="default" w:ascii="Times New Roman" w:hAnsi="Times New Roman" w:eastAsia="仿宋_GB2312" w:cs="Times New Roman"/>
          <w:color w:val="auto"/>
          <w:sz w:val="32"/>
          <w:szCs w:val="32"/>
        </w:rPr>
        <w:t>还田</w:t>
      </w:r>
      <w:r>
        <w:rPr>
          <w:rFonts w:hint="default" w:ascii="Times New Roman" w:hAnsi="Times New Roman" w:eastAsia="仿宋_GB2312" w:cs="Times New Roman"/>
          <w:color w:val="auto"/>
          <w:sz w:val="32"/>
          <w:szCs w:val="32"/>
          <w:lang w:eastAsia="zh-CN"/>
        </w:rPr>
        <w:t>模式，</w:t>
      </w:r>
      <w:r>
        <w:rPr>
          <w:rFonts w:hint="default" w:ascii="Times New Roman" w:hAnsi="Times New Roman" w:eastAsia="仿宋_GB2312" w:cs="Times New Roman"/>
          <w:color w:val="auto"/>
          <w:sz w:val="32"/>
          <w:szCs w:val="32"/>
          <w:lang w:val="en-US" w:eastAsia="zh-CN"/>
        </w:rPr>
        <w:t>已初步尝试建立固体粪肥还田有偿服务机制。通过粪肥还田，示范区化肥使用量减少30%左右，全县畜禽粪污综合利用率达到90%以上，耕地质量和生产能力得到有效提升。</w:t>
      </w:r>
    </w:p>
    <w:p>
      <w:pPr>
        <w:keepNext w:val="0"/>
        <w:keepLines w:val="0"/>
        <w:pageBreakBefore w:val="0"/>
        <w:numPr>
          <w:ilvl w:val="0"/>
          <w:numId w:val="0"/>
        </w:numPr>
        <w:kinsoku/>
        <w:wordWrap/>
        <w:overflowPunct/>
        <w:topLinePunct w:val="0"/>
        <w:autoSpaceDE/>
        <w:autoSpaceDN/>
        <w:bidi w:val="0"/>
        <w:adjustRightInd/>
        <w:snapToGrid/>
        <w:spacing w:line="570" w:lineRule="exact"/>
        <w:ind w:leftChars="200"/>
        <w:textAlignment w:val="auto"/>
        <w:outlineLvl w:val="0"/>
        <w:rPr>
          <w:rFonts w:hint="default" w:ascii="Times New Roman" w:hAnsi="Times New Roman" w:eastAsia="仿宋_GB2312" w:cs="Times New Roman"/>
          <w:b w:val="0"/>
          <w:bCs w:val="0"/>
          <w:color w:val="auto"/>
          <w:sz w:val="32"/>
          <w:szCs w:val="32"/>
        </w:rPr>
      </w:pPr>
      <w:r>
        <w:rPr>
          <w:rFonts w:hint="eastAsia" w:ascii="Times New Roman" w:hAnsi="Times New Roman" w:eastAsia="楷体_GB2312" w:cs="Times New Roman"/>
          <w:b w:val="0"/>
          <w:bCs w:val="0"/>
          <w:color w:val="auto"/>
          <w:sz w:val="32"/>
          <w:szCs w:val="32"/>
          <w:lang w:eastAsia="zh-CN"/>
        </w:rPr>
        <w:t>（</w:t>
      </w:r>
      <w:r>
        <w:rPr>
          <w:rFonts w:hint="eastAsia" w:ascii="Times New Roman" w:hAnsi="Times New Roman" w:eastAsia="楷体_GB2312" w:cs="Times New Roman"/>
          <w:b w:val="0"/>
          <w:bCs w:val="0"/>
          <w:color w:val="auto"/>
          <w:sz w:val="32"/>
          <w:szCs w:val="32"/>
          <w:lang w:val="en-US" w:eastAsia="zh-CN"/>
        </w:rPr>
        <w:t>四</w:t>
      </w:r>
      <w:r>
        <w:rPr>
          <w:rFonts w:hint="eastAsia" w:ascii="Times New Roman" w:hAnsi="Times New Roman" w:eastAsia="楷体_GB2312" w:cs="Times New Roman"/>
          <w:b w:val="0"/>
          <w:bCs w:val="0"/>
          <w:color w:val="auto"/>
          <w:sz w:val="32"/>
          <w:szCs w:val="32"/>
          <w:lang w:eastAsia="zh-CN"/>
        </w:rPr>
        <w:t>）</w:t>
      </w:r>
      <w:r>
        <w:rPr>
          <w:rFonts w:hint="default" w:ascii="Times New Roman" w:hAnsi="Times New Roman" w:eastAsia="楷体_GB2312" w:cs="Times New Roman"/>
          <w:b w:val="0"/>
          <w:bCs w:val="0"/>
          <w:color w:val="auto"/>
          <w:sz w:val="32"/>
          <w:szCs w:val="32"/>
        </w:rPr>
        <w:t>绩效</w:t>
      </w:r>
      <w:r>
        <w:rPr>
          <w:rFonts w:hint="default" w:ascii="Times New Roman" w:hAnsi="Times New Roman" w:eastAsia="楷体_GB2312" w:cs="Times New Roman"/>
          <w:b w:val="0"/>
          <w:bCs w:val="0"/>
          <w:color w:val="auto"/>
          <w:sz w:val="32"/>
          <w:szCs w:val="32"/>
          <w:lang w:val="en-US" w:eastAsia="zh-CN"/>
        </w:rPr>
        <w:t>指标</w:t>
      </w:r>
      <w:r>
        <w:rPr>
          <w:rFonts w:hint="default" w:ascii="Times New Roman" w:hAnsi="Times New Roman" w:eastAsia="楷体_GB2312" w:cs="Times New Roman"/>
          <w:b w:val="0"/>
          <w:bCs w:val="0"/>
          <w:color w:val="auto"/>
          <w:sz w:val="32"/>
          <w:szCs w:val="32"/>
        </w:rPr>
        <w:t>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方正仿宋_GB2312" w:cs="Times New Roman"/>
          <w:b w:val="0"/>
          <w:bCs w:val="0"/>
          <w:color w:val="auto"/>
          <w:sz w:val="32"/>
          <w:szCs w:val="32"/>
          <w:lang w:val="en-US" w:eastAsia="zh-CN"/>
        </w:rPr>
        <w:t>（1）完成试点面积10万亩以上</w:t>
      </w:r>
      <w:r>
        <w:rPr>
          <w:rFonts w:hint="default"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color w:val="auto"/>
          <w:sz w:val="32"/>
          <w:szCs w:val="32"/>
          <w:lang w:val="en-US" w:eastAsia="zh-CN"/>
        </w:rPr>
        <w:t>截止2024年至3月中旬，已完成粪肥还田面积12.8万亩，</w:t>
      </w:r>
      <w:r>
        <w:rPr>
          <w:rFonts w:hint="default" w:ascii="Times New Roman" w:hAnsi="Times New Roman" w:eastAsia="仿宋_GB2312" w:cs="Times New Roman"/>
          <w:color w:val="auto"/>
          <w:sz w:val="32"/>
          <w:szCs w:val="32"/>
        </w:rPr>
        <w:t>粪肥还田量累计完成38.21万吨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其中液体粪肥还田</w:t>
      </w:r>
      <w:r>
        <w:rPr>
          <w:rFonts w:hint="default" w:ascii="Times New Roman" w:hAnsi="Times New Roman" w:eastAsia="仿宋_GB2312" w:cs="Times New Roman"/>
          <w:color w:val="auto"/>
          <w:sz w:val="32"/>
          <w:szCs w:val="32"/>
          <w:lang w:val="en-US" w:eastAsia="zh-CN"/>
        </w:rPr>
        <w:t>面积</w:t>
      </w:r>
      <w:r>
        <w:rPr>
          <w:rFonts w:hint="default" w:ascii="Times New Roman" w:hAnsi="Times New Roman" w:eastAsia="仿宋_GB2312" w:cs="Times New Roman"/>
          <w:color w:val="auto"/>
          <w:sz w:val="32"/>
          <w:szCs w:val="32"/>
        </w:rPr>
        <w:t>9.45万亩，</w:t>
      </w:r>
      <w:r>
        <w:rPr>
          <w:rFonts w:hint="default" w:ascii="Times New Roman" w:hAnsi="Times New Roman" w:eastAsia="仿宋_GB2312" w:cs="Times New Roman"/>
          <w:color w:val="auto"/>
          <w:sz w:val="32"/>
          <w:szCs w:val="32"/>
          <w:lang w:val="en-US" w:eastAsia="zh-CN"/>
        </w:rPr>
        <w:t>还田量</w:t>
      </w:r>
      <w:r>
        <w:rPr>
          <w:rFonts w:hint="default" w:ascii="Times New Roman" w:hAnsi="Times New Roman" w:eastAsia="仿宋_GB2312" w:cs="Times New Roman"/>
          <w:color w:val="auto"/>
          <w:sz w:val="32"/>
          <w:szCs w:val="32"/>
        </w:rPr>
        <w:t>37.48万吨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固体粪肥还田</w:t>
      </w:r>
      <w:r>
        <w:rPr>
          <w:rFonts w:hint="default" w:ascii="Times New Roman" w:hAnsi="Times New Roman" w:eastAsia="仿宋_GB2312" w:cs="Times New Roman"/>
          <w:color w:val="auto"/>
          <w:sz w:val="32"/>
          <w:szCs w:val="32"/>
          <w:lang w:val="en-US" w:eastAsia="zh-CN"/>
        </w:rPr>
        <w:t>面积</w:t>
      </w:r>
      <w:r>
        <w:rPr>
          <w:rFonts w:hint="default" w:ascii="Times New Roman" w:hAnsi="Times New Roman" w:eastAsia="仿宋_GB2312" w:cs="Times New Roman"/>
          <w:color w:val="auto"/>
          <w:sz w:val="32"/>
          <w:szCs w:val="32"/>
        </w:rPr>
        <w:t>3.35万亩，</w:t>
      </w:r>
      <w:r>
        <w:rPr>
          <w:rFonts w:hint="default" w:ascii="Times New Roman" w:hAnsi="Times New Roman" w:eastAsia="仿宋_GB2312" w:cs="Times New Roman"/>
          <w:color w:val="auto"/>
          <w:sz w:val="32"/>
          <w:szCs w:val="32"/>
          <w:lang w:val="en-US" w:eastAsia="zh-CN"/>
        </w:rPr>
        <w:t>还田量</w:t>
      </w:r>
      <w:r>
        <w:rPr>
          <w:rFonts w:hint="default" w:ascii="Times New Roman" w:hAnsi="Times New Roman" w:eastAsia="仿宋_GB2312" w:cs="Times New Roman"/>
          <w:color w:val="auto"/>
          <w:sz w:val="32"/>
          <w:szCs w:val="32"/>
        </w:rPr>
        <w:t>0.73万吨。根据还田作物类型，油菜粪肥还田8.82万吨，还田面积2.21万亩；水稻粪肥还田3.47万吨，还田面积1.55万亩；蔬菜粪肥还田3.42万吨，还田面积1.10万亩；雷竹粪肥还田3.13万吨，还田面积1.2万亩；玉米粪肥还田1.86万吨，还田面积0.48万亩；水果粪肥还田1.58万吨，还田面积0.98万亩；中药材粪肥还田1.18万吨，还田面积1.14万亩；油茶粪肥还田1.17万吨，还田面积0.35万亩；茶叶粪肥还田0.37万吨，还田面积0.48万亩；其他粪肥还田13.21万吨，还田面积3.31万亩。</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textAlignment w:val="auto"/>
        <w:outlineLvl w:val="0"/>
        <w:rPr>
          <w:rFonts w:hint="default" w:ascii="Times New Roman" w:hAnsi="Times New Roman" w:eastAsia="仿宋_GB2312" w:cs="Times New Roman"/>
          <w:color w:val="auto"/>
          <w:sz w:val="32"/>
          <w:szCs w:val="32"/>
        </w:rPr>
      </w:pPr>
      <w:r>
        <w:rPr>
          <w:rFonts w:hint="default" w:ascii="Times New Roman" w:hAnsi="Times New Roman" w:eastAsia="方正仿宋_GB2312" w:cs="Times New Roman"/>
          <w:b w:val="0"/>
          <w:bCs w:val="0"/>
          <w:color w:val="auto"/>
          <w:sz w:val="32"/>
          <w:szCs w:val="32"/>
          <w:lang w:eastAsia="zh-CN"/>
        </w:rPr>
        <w:t>（</w:t>
      </w:r>
      <w:r>
        <w:rPr>
          <w:rFonts w:hint="default" w:ascii="Times New Roman" w:hAnsi="Times New Roman" w:eastAsia="方正仿宋_GB2312" w:cs="Times New Roman"/>
          <w:b w:val="0"/>
          <w:bCs w:val="0"/>
          <w:color w:val="auto"/>
          <w:sz w:val="32"/>
          <w:szCs w:val="32"/>
          <w:lang w:val="en-US" w:eastAsia="zh-CN"/>
        </w:rPr>
        <w:t>2</w:t>
      </w:r>
      <w:r>
        <w:rPr>
          <w:rFonts w:hint="default" w:ascii="Times New Roman" w:hAnsi="Times New Roman" w:eastAsia="方正仿宋_GB2312" w:cs="Times New Roman"/>
          <w:b w:val="0"/>
          <w:bCs w:val="0"/>
          <w:color w:val="auto"/>
          <w:sz w:val="32"/>
          <w:szCs w:val="32"/>
          <w:lang w:eastAsia="zh-CN"/>
        </w:rPr>
        <w:t>）</w:t>
      </w:r>
      <w:r>
        <w:rPr>
          <w:rFonts w:hint="default" w:ascii="Times New Roman" w:hAnsi="Times New Roman" w:eastAsia="方正仿宋_GB2312" w:cs="Times New Roman"/>
          <w:b w:val="0"/>
          <w:bCs w:val="0"/>
          <w:color w:val="auto"/>
          <w:sz w:val="32"/>
          <w:szCs w:val="32"/>
        </w:rPr>
        <w:t>有机肥施用情况</w:t>
      </w:r>
      <w:r>
        <w:rPr>
          <w:rFonts w:hint="default" w:ascii="Times New Roman" w:hAnsi="Times New Roman" w:eastAsia="仿宋_GB2312" w:cs="Times New Roman"/>
          <w:color w:val="auto"/>
          <w:sz w:val="32"/>
          <w:szCs w:val="32"/>
        </w:rPr>
        <w:t>：通过实施试点项目，本区2023年有机肥施用面积为12.8万亩，比去年增加5.46个百分点。</w:t>
      </w:r>
    </w:p>
    <w:p>
      <w:pPr>
        <w:keepNext w:val="0"/>
        <w:keepLines w:val="0"/>
        <w:pageBreakBefore w:val="0"/>
        <w:kinsoku/>
        <w:wordWrap/>
        <w:overflowPunct/>
        <w:topLinePunct w:val="0"/>
        <w:autoSpaceDE/>
        <w:autoSpaceDN/>
        <w:bidi w:val="0"/>
        <w:adjustRightInd/>
        <w:snapToGrid/>
        <w:spacing w:line="570" w:lineRule="exact"/>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三、偏离绩效目标的原因和下一步改进措施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华文楷体" w:cs="Times New Roman"/>
          <w:color w:val="auto"/>
          <w:sz w:val="32"/>
          <w:szCs w:val="32"/>
          <w:lang w:val="en-US" w:eastAsia="zh-CN"/>
        </w:rPr>
      </w:pPr>
      <w:r>
        <w:rPr>
          <w:rFonts w:hint="default" w:ascii="Times New Roman" w:hAnsi="Times New Roman" w:eastAsia="华文楷体" w:cs="Times New Roman"/>
          <w:color w:val="auto"/>
          <w:sz w:val="32"/>
          <w:szCs w:val="32"/>
          <w:lang w:val="en-US" w:eastAsia="zh-CN"/>
        </w:rPr>
        <w:t>主要问题：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华文楷体" w:cs="Times New Roman"/>
          <w:b w:val="0"/>
          <w:bCs w:val="0"/>
          <w:color w:val="auto"/>
          <w:sz w:val="32"/>
          <w:szCs w:val="32"/>
        </w:rPr>
      </w:pPr>
      <w:r>
        <w:rPr>
          <w:rFonts w:hint="default" w:ascii="Times New Roman" w:hAnsi="Times New Roman" w:eastAsia="华文楷体" w:cs="Times New Roman"/>
          <w:b w:val="0"/>
          <w:bCs w:val="0"/>
          <w:color w:val="auto"/>
          <w:sz w:val="32"/>
          <w:szCs w:val="32"/>
        </w:rPr>
        <w:t>（一）种植主体对粪肥还田的意识不强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由于有机肥的科学施用普及还不全面，部分种植主体为了追求高产高效,认为化肥见效快，施用量少，人工成本低。担心施用粪肥会增加企业投入、且肥效较慢导致产品减产，降低经济效益，导致在前期承担主体申报工作过程中耗时较长。崇阳县农业农村局通过技术培训、专家现场指导、座谈、宣传、资料发放等形式，使种植主体对粪肥的利用意识得以提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华文楷体" w:cs="Times New Roman"/>
          <w:b w:val="0"/>
          <w:bCs w:val="0"/>
          <w:color w:val="auto"/>
          <w:sz w:val="32"/>
          <w:szCs w:val="32"/>
        </w:rPr>
      </w:pPr>
      <w:r>
        <w:rPr>
          <w:rFonts w:hint="default" w:ascii="Times New Roman" w:hAnsi="Times New Roman" w:eastAsia="华文楷体" w:cs="Times New Roman"/>
          <w:b w:val="0"/>
          <w:bCs w:val="0"/>
          <w:color w:val="auto"/>
          <w:sz w:val="32"/>
          <w:szCs w:val="32"/>
        </w:rPr>
        <w:t>（二）农作物季节性强，影响基础性工作开展和布局</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农作物接纳利用粪肥季节性强，大部分作物在4-9月生长期间不适宜使用高浓度粪水，还田适期与粪污产生和处理时间很难完全匹配，大部分还田集中于冬闲田，既降低了粪肥利用效率，又导致了作物生长季粪肥还田量少，粪污消纳压力大，粪污全年稳定均衡利用情况不佳。</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华文楷体" w:cs="Times New Roman"/>
          <w:color w:val="auto"/>
          <w:sz w:val="32"/>
          <w:szCs w:val="32"/>
          <w:lang w:val="en-US" w:eastAsia="zh-CN"/>
        </w:rPr>
      </w:pPr>
      <w:r>
        <w:rPr>
          <w:rFonts w:hint="default" w:ascii="Times New Roman" w:hAnsi="Times New Roman" w:eastAsia="华文楷体" w:cs="Times New Roman"/>
          <w:color w:val="auto"/>
          <w:sz w:val="32"/>
          <w:szCs w:val="32"/>
          <w:lang w:val="en-US" w:eastAsia="zh-CN"/>
        </w:rPr>
        <w:t>下一步改进措施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我县将严格按照农业农村部相关要求和省农业农村厅党组统一部署，认真抓好项目各项任务的落实，统一思想，提高认识，抢抓时间，强化落实，全面改善部分项目指标落实较慢的情况。同时，科学开展绩效评价，全面做好项目实施的指导督促，力争最大限度发挥资金效应。</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华文楷体" w:cs="Times New Roman"/>
          <w:b w:val="0"/>
          <w:bCs w:val="0"/>
          <w:color w:val="auto"/>
          <w:sz w:val="32"/>
          <w:szCs w:val="32"/>
          <w:lang w:val="en-US" w:eastAsia="zh-CN"/>
        </w:rPr>
      </w:pPr>
      <w:r>
        <w:rPr>
          <w:rFonts w:hint="default" w:ascii="Times New Roman" w:hAnsi="Times New Roman" w:eastAsia="华文楷体" w:cs="Times New Roman"/>
          <w:b w:val="0"/>
          <w:bCs w:val="0"/>
          <w:color w:val="auto"/>
          <w:sz w:val="32"/>
          <w:szCs w:val="32"/>
          <w:lang w:val="en-US" w:eastAsia="zh-CN"/>
        </w:rPr>
        <w:t>(一)完善监管体系，强化责任落实</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县委县政府高度重视，规范健全相关政策措施，组织建立健全常态化监管体系和机制，明确生态环保、农业农村、乡镇政府、养殖业主和还田利用牵头企业各自责任，建立健全惩戒与激励相结合机制，强化对现有生猪养殖场粪污处理监管；严格新建养殖场审批，不再分散建设中小型养殖场，支持现有中小型养殖场整合，减少养殖场数量，鼓励养殖企业相对集中，鼓励粪污集中收集、规模化标准化处理，推动畜禽粪污处理由“治”向“用”转变。制订健全粪污治理规程，对规范化利用进行奖补，依法依规打击违规排放。主要养殖企业的要强化责任担当，建立健全相关机制，提档升级设施设备，增加人财物投入，提升资源化利用水平，做好规范化处理利用的表率，带动全县养殖户绿色安全健康发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华文楷体" w:cs="Times New Roman"/>
          <w:color w:val="auto"/>
          <w:sz w:val="32"/>
          <w:szCs w:val="32"/>
          <w:lang w:val="en-US" w:eastAsia="zh-CN"/>
        </w:rPr>
      </w:pPr>
      <w:r>
        <w:rPr>
          <w:rFonts w:hint="default" w:ascii="Times New Roman" w:hAnsi="Times New Roman" w:eastAsia="华文楷体" w:cs="Times New Roman"/>
          <w:color w:val="auto"/>
          <w:sz w:val="32"/>
          <w:szCs w:val="32"/>
          <w:lang w:val="en-US" w:eastAsia="zh-CN"/>
        </w:rPr>
        <w:t>(二)强化示范引领，办好样板展示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全力做好粪肥还田示范推广工作,全力打造一个千亩粪肥还田集约示范区,以此来起到引领带动的作用。紧紧围绕本地“猪、竹、茶、药”四大优势产业建立具有本地特色的绿色种养循环模式，立足粪肥利用，着眼绿色发展，加大对还田示范基地的基础设施和相关设备投入，建设一批高水平、有特色、有亮点、有效益的种养循环模式和绿色有机产品，结合本地雷竹、吊瓜、中药材、茶叶、特色蔬菜水果等优势品种，打造基于种养循环的种植业绿色品牌。示范区争取做到“五有”，即:有专家指导、有预期目标、有醒目标志牌、有定期回访、有示范对比田。其中，标识牌做到标明作物品种、目标产量、施肥方式、施肥数量、施肥时期等重要信息，在施肥、采摘、防控等关键时节，组织承担主体进行培训和现场观摩。</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华文楷体" w:cs="Times New Roman"/>
          <w:color w:val="auto"/>
          <w:sz w:val="32"/>
          <w:szCs w:val="32"/>
          <w:lang w:val="en-US" w:eastAsia="zh-CN"/>
        </w:rPr>
      </w:pPr>
      <w:r>
        <w:rPr>
          <w:rFonts w:hint="default" w:ascii="Times New Roman" w:hAnsi="Times New Roman" w:eastAsia="华文楷体" w:cs="Times New Roman"/>
          <w:color w:val="auto"/>
          <w:sz w:val="32"/>
          <w:szCs w:val="32"/>
          <w:lang w:val="en-US" w:eastAsia="zh-CN"/>
        </w:rPr>
        <w:t>（三）改进技术措施，完善负面清单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强化运输、施用设施设备与农艺措施的结合，调整优化还田技术模式，拓宽循环利用途径；制定还田技术规范，明确粪肥质量要求、施用季节和用量规范、施用操作规程、环保和土地承载红线等，制定还田负面清单，加强技术培训和全过程监督，高度重视粪肥质量管控，改进粪肥发酵工艺，采用适时投放专用发酵菌、延长发酵时间等措施，确保粪肥质量达标。应用高技术手段和大数据系统开展日常监管，确保高效安全利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cs="Times New Roman"/>
          <w:color w:val="auto"/>
          <w:sz w:val="32"/>
          <w:szCs w:val="32"/>
          <w:lang w:val="en-US" w:eastAsia="zh-CN"/>
        </w:rPr>
      </w:pPr>
      <w:r>
        <w:rPr>
          <w:rFonts w:hint="default" w:ascii="Times New Roman" w:hAnsi="Times New Roman" w:eastAsia="华文楷体" w:cs="Times New Roman"/>
          <w:color w:val="auto"/>
          <w:sz w:val="32"/>
          <w:szCs w:val="32"/>
          <w:lang w:val="en-US" w:eastAsia="zh-CN"/>
        </w:rPr>
        <w:t>（四）加强宣传培训，提升粪肥利用意识。</w:t>
      </w:r>
      <w:r>
        <w:rPr>
          <w:rFonts w:hint="default" w:ascii="Times New Roman" w:hAnsi="Times New Roman" w:eastAsia="仿宋" w:cs="Times New Roman"/>
          <w:b w:val="0"/>
          <w:bCs w:val="0"/>
          <w:color w:val="auto"/>
          <w:sz w:val="32"/>
          <w:szCs w:val="32"/>
          <w:lang w:val="en-US" w:eastAsia="zh-CN"/>
        </w:rPr>
        <w:t>结合农时，加强技术指导和宣传培训，组织种植户开展粪肥资源化利用、化肥减量增效、有机无机混合使用相关培训，发放粪肥利用科普宣传册，张贴施用技术指南等，提升种植户粪肥利用意识；其次</w:t>
      </w:r>
      <w:r>
        <w:rPr>
          <w:rFonts w:hint="default" w:ascii="Times New Roman" w:hAnsi="Times New Roman" w:eastAsia="仿宋_GB2312" w:cs="Times New Roman"/>
          <w:color w:val="auto"/>
          <w:sz w:val="32"/>
          <w:szCs w:val="32"/>
          <w:lang w:val="en-US" w:eastAsia="zh-CN"/>
        </w:rPr>
        <w:t>根据实际情况，建立粪肥利用效果监测点，对施用粪肥土壤及作物开展长期效果监测，打造粪肥利用示范基地，开展不同作物粪肥替代化肥田间试验，教育引导农民实地参观学习，用试验示范实际成效让种植户逐步接受粪肥还田利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华文楷体" w:cs="Times New Roman"/>
          <w:color w:val="auto"/>
          <w:sz w:val="32"/>
          <w:szCs w:val="32"/>
          <w:lang w:val="en-US" w:eastAsia="zh-CN"/>
        </w:rPr>
      </w:pPr>
      <w:r>
        <w:rPr>
          <w:rFonts w:hint="default" w:ascii="Times New Roman" w:hAnsi="Times New Roman" w:eastAsia="华文楷体" w:cs="Times New Roman"/>
          <w:color w:val="auto"/>
          <w:sz w:val="32"/>
          <w:szCs w:val="32"/>
          <w:lang w:val="en-US" w:eastAsia="zh-CN"/>
        </w:rPr>
        <w:t>(五)强化协作交流，解决重点难点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崇阳县农业农村局成立了以局长为技术组长，下步将协同植保、农技等部门专家，围绕粪肥还田开展技术服务指导，制定明确的实施方案、详细的管理办法，集中解决项目实施中遇到的重点和难点问题。同时，与兄弟县市、农机经销商、肥料生产企业等加强沟通和交流，积极学习先进的经验和方法，防止在项目实施过程中走弯路、走错路，确保项目高效、有序的推进。</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华文楷体" w:cs="Times New Roman"/>
          <w:color w:val="auto"/>
          <w:sz w:val="32"/>
          <w:szCs w:val="32"/>
          <w:lang w:val="en-US" w:eastAsia="zh-CN"/>
        </w:rPr>
      </w:pPr>
      <w:r>
        <w:rPr>
          <w:rFonts w:hint="default" w:ascii="Times New Roman" w:hAnsi="Times New Roman" w:eastAsia="华文楷体" w:cs="Times New Roman"/>
          <w:color w:val="auto"/>
          <w:sz w:val="32"/>
          <w:szCs w:val="32"/>
          <w:lang w:val="en-US" w:eastAsia="zh-CN"/>
        </w:rPr>
        <w:t>(六)强化督办检查，做好绩效评价</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由于绿色种养循环农业试点项目资金较大，社会影响较广，为确保实施过程中不发生廉政风险,崇阳县农业农村局将组织纪检、财务、技术专家等人员组成的检查小组，对全县实施绿色种养循环农业试点项目的实施情况进行实地检查和督办。在实施过程中，加强观察和记录，及时做好项目实施的经济效益、社会效益、生态效益以及服务对象的满意度等绩效指标等评价工作，总结好经验，查找出不足，确保项目资金发挥最大效益</w:t>
      </w:r>
    </w:p>
    <w:p>
      <w:pPr>
        <w:keepNext w:val="0"/>
        <w:keepLines w:val="0"/>
        <w:pageBreakBefore w:val="0"/>
        <w:numPr>
          <w:ilvl w:val="0"/>
          <w:numId w:val="2"/>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bCs/>
          <w:color w:val="auto"/>
          <w:sz w:val="32"/>
          <w:szCs w:val="32"/>
        </w:rPr>
      </w:pPr>
      <w:r>
        <w:rPr>
          <w:rFonts w:hint="default" w:ascii="Times New Roman" w:hAnsi="Times New Roman" w:eastAsia="黑体" w:cs="Times New Roman"/>
          <w:bCs/>
          <w:color w:val="auto"/>
          <w:sz w:val="32"/>
          <w:szCs w:val="32"/>
        </w:rPr>
        <w:t>绩效自评结果拟应用和公开情况</w:t>
      </w:r>
    </w:p>
    <w:p>
      <w:pPr>
        <w:keepNext w:val="0"/>
        <w:keepLines w:val="0"/>
        <w:pageBreakBefore w:val="0"/>
        <w:widowControl w:val="0"/>
        <w:kinsoku/>
        <w:wordWrap/>
        <w:overflowPunct/>
        <w:topLinePunct w:val="0"/>
        <w:autoSpaceDE/>
        <w:autoSpaceDN/>
        <w:bidi w:val="0"/>
        <w:adjustRightInd w:val="0"/>
        <w:snapToGrid w:val="0"/>
        <w:spacing w:line="57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崇阳</w:t>
      </w:r>
      <w:r>
        <w:rPr>
          <w:rFonts w:hint="default" w:ascii="Times New Roman" w:hAnsi="Times New Roman" w:eastAsia="仿宋_GB2312" w:cs="Times New Roman"/>
          <w:color w:val="auto"/>
          <w:sz w:val="32"/>
          <w:szCs w:val="32"/>
          <w:lang w:eastAsia="zh-CN"/>
        </w:rPr>
        <w:t>县将充分应用本次绩效自评结果，作为部门业绩考核、项目申报、预算安排和项目管理的重要依据，建立绩效评价结果报告和公示制度，接受社会监督。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70" w:lineRule="exact"/>
        <w:ind w:left="0"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无</w:t>
      </w:r>
      <w:bookmarkStart w:id="0" w:name="_GoBack"/>
      <w:bookmarkEnd w:id="0"/>
    </w:p>
    <w:p>
      <w:pPr>
        <w:keepNext w:val="0"/>
        <w:keepLines w:val="0"/>
        <w:pageBreakBefore w:val="0"/>
        <w:kinsoku/>
        <w:wordWrap/>
        <w:overflowPunct/>
        <w:topLinePunct w:val="0"/>
        <w:autoSpaceDE/>
        <w:autoSpaceDN/>
        <w:bidi w:val="0"/>
        <w:spacing w:line="570" w:lineRule="exact"/>
        <w:ind w:firstLine="160" w:firstLineChars="50"/>
        <w:textAlignment w:val="auto"/>
        <w:rPr>
          <w:rFonts w:hint="default" w:ascii="Times New Roman" w:hAnsi="Times New Roman" w:eastAsia="仿宋_GB2312" w:cs="Times New Roman"/>
          <w:color w:val="auto"/>
          <w:sz w:val="28"/>
          <w:szCs w:val="28"/>
          <w:lang w:val="en-US"/>
        </w:rPr>
      </w:pPr>
      <w:r>
        <w:rPr>
          <w:rFonts w:hint="default" w:ascii="Times New Roman" w:hAnsi="Times New Roman" w:eastAsia="仿宋_GB2312" w:cs="Times New Roman"/>
          <w:color w:val="auto"/>
          <w:sz w:val="32"/>
          <w:szCs w:val="32"/>
          <w:lang w:eastAsia="zh-CN"/>
        </w:rPr>
        <w:t>抄送：省农业农村厅机关有关处室、厅直有关单位。</w:t>
      </w:r>
    </w:p>
    <w:p>
      <w:pPr>
        <w:keepNext w:val="0"/>
        <w:keepLines w:val="0"/>
        <w:pageBreakBefore w:val="0"/>
        <w:kinsoku/>
        <w:wordWrap/>
        <w:overflowPunct/>
        <w:topLinePunct w:val="0"/>
        <w:autoSpaceDE/>
        <w:autoSpaceDN/>
        <w:bidi w:val="0"/>
        <w:spacing w:line="570" w:lineRule="exact"/>
        <w:jc w:val="right"/>
        <w:textAlignment w:val="auto"/>
        <w:rPr>
          <w:rFonts w:hint="default" w:ascii="Times New Roman" w:hAnsi="Times New Roman" w:cs="Times New Roman"/>
          <w:color w:val="auto"/>
          <w:sz w:val="32"/>
          <w:szCs w:val="40"/>
          <w:lang w:val="en-US" w:eastAsia="zh-CN"/>
        </w:rPr>
      </w:pPr>
    </w:p>
    <w:p>
      <w:pPr>
        <w:keepNext w:val="0"/>
        <w:keepLines w:val="0"/>
        <w:pageBreakBefore w:val="0"/>
        <w:kinsoku/>
        <w:wordWrap/>
        <w:overflowPunct/>
        <w:topLinePunct w:val="0"/>
        <w:autoSpaceDE/>
        <w:autoSpaceDN/>
        <w:bidi w:val="0"/>
        <w:spacing w:line="570" w:lineRule="exact"/>
        <w:jc w:val="right"/>
        <w:textAlignment w:val="auto"/>
        <w:rPr>
          <w:rFonts w:hint="default" w:ascii="Times New Roman" w:hAnsi="Times New Roman" w:eastAsia="方正仿宋_GB2312" w:cs="Times New Roman"/>
          <w:color w:val="auto"/>
          <w:sz w:val="32"/>
          <w:szCs w:val="40"/>
          <w:lang w:val="en-US" w:eastAsia="zh-CN"/>
        </w:rPr>
      </w:pPr>
      <w:r>
        <w:rPr>
          <w:rFonts w:hint="default" w:ascii="Times New Roman" w:hAnsi="Times New Roman" w:eastAsia="方正仿宋_GB2312" w:cs="Times New Roman"/>
          <w:color w:val="auto"/>
          <w:sz w:val="32"/>
          <w:szCs w:val="40"/>
          <w:lang w:val="en-US" w:eastAsia="zh-CN"/>
        </w:rPr>
        <w:t>崇阳县</w:t>
      </w:r>
      <w:r>
        <w:rPr>
          <w:rFonts w:hint="eastAsia" w:ascii="Times New Roman" w:hAnsi="Times New Roman" w:eastAsia="方正仿宋_GB2312" w:cs="Times New Roman"/>
          <w:color w:val="auto"/>
          <w:sz w:val="32"/>
          <w:szCs w:val="40"/>
          <w:lang w:val="en-US" w:eastAsia="zh-CN"/>
        </w:rPr>
        <w:t>农业农村局</w:t>
      </w:r>
    </w:p>
    <w:p>
      <w:pPr>
        <w:keepNext w:val="0"/>
        <w:keepLines w:val="0"/>
        <w:pageBreakBefore w:val="0"/>
        <w:kinsoku/>
        <w:wordWrap/>
        <w:overflowPunct/>
        <w:topLinePunct w:val="0"/>
        <w:autoSpaceDE/>
        <w:autoSpaceDN/>
        <w:bidi w:val="0"/>
        <w:spacing w:line="570" w:lineRule="exact"/>
        <w:jc w:val="right"/>
        <w:textAlignment w:val="auto"/>
        <w:rPr>
          <w:rFonts w:hint="default" w:ascii="Times New Roman" w:hAnsi="Times New Roman" w:cs="Times New Roman"/>
          <w:color w:val="auto"/>
          <w:lang w:val="en-US" w:eastAsia="zh-CN"/>
        </w:rPr>
      </w:pPr>
      <w:r>
        <w:rPr>
          <w:rFonts w:hint="default" w:ascii="Times New Roman" w:hAnsi="Times New Roman" w:eastAsia="方正仿宋_GB2312" w:cs="Times New Roman"/>
          <w:color w:val="auto"/>
          <w:sz w:val="32"/>
          <w:szCs w:val="40"/>
          <w:lang w:val="en-US" w:eastAsia="zh-CN"/>
        </w:rPr>
        <w:t>2024年3月15日</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C80086C-81A9-4E53-8A5A-81AA7E655FF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408EA918-0DF9-4CBF-9C4C-F95273E63C6C}"/>
  </w:font>
  <w:font w:name="方正小标宋简体">
    <w:panose1 w:val="02000000000000000000"/>
    <w:charset w:val="86"/>
    <w:family w:val="auto"/>
    <w:pitch w:val="default"/>
    <w:sig w:usb0="00000001" w:usb1="08000000" w:usb2="00000000" w:usb3="00000000" w:csb0="00040000" w:csb1="00000000"/>
    <w:embedRegular r:id="rId3" w:fontKey="{3F63EDB1-DED9-40BE-A5D3-AFFC9E729609}"/>
  </w:font>
  <w:font w:name="方正公文小标宋">
    <w:panose1 w:val="02000500000000000000"/>
    <w:charset w:val="86"/>
    <w:family w:val="auto"/>
    <w:pitch w:val="default"/>
    <w:sig w:usb0="A00002BF" w:usb1="38CF7CFA" w:usb2="00000016" w:usb3="00000000" w:csb0="00040001" w:csb1="00000000"/>
    <w:embedRegular r:id="rId4" w:fontKey="{CE0744C6-867C-4817-A137-78B7652D07E6}"/>
  </w:font>
  <w:font w:name="楷体_GB2312">
    <w:altName w:val="楷体"/>
    <w:panose1 w:val="02010609030101010101"/>
    <w:charset w:val="86"/>
    <w:family w:val="modern"/>
    <w:pitch w:val="default"/>
    <w:sig w:usb0="00000000" w:usb1="00000000" w:usb2="00000000" w:usb3="00000000" w:csb0="00040000" w:csb1="00000000"/>
    <w:embedRegular r:id="rId5" w:fontKey="{3257967D-5AE2-4F27-AC63-75867BAB9379}"/>
  </w:font>
  <w:font w:name="方正仿宋_GB2312">
    <w:panose1 w:val="02000000000000000000"/>
    <w:charset w:val="86"/>
    <w:family w:val="auto"/>
    <w:pitch w:val="default"/>
    <w:sig w:usb0="A00002BF" w:usb1="184F6CFA" w:usb2="00000012" w:usb3="00000000" w:csb0="00040001" w:csb1="00000000"/>
    <w:embedRegular r:id="rId6" w:fontKey="{2F6B484B-3ACD-4707-B8E4-C3DC93035C62}"/>
  </w:font>
  <w:font w:name="华文楷体">
    <w:panose1 w:val="02010600040101010101"/>
    <w:charset w:val="86"/>
    <w:family w:val="auto"/>
    <w:pitch w:val="default"/>
    <w:sig w:usb0="00000287" w:usb1="080F0000" w:usb2="00000000" w:usb3="00000000" w:csb0="0004009F" w:csb1="DFD70000"/>
    <w:embedRegular r:id="rId7" w:fontKey="{E9C04AF3-B200-4825-AEF5-55FC5A785852}"/>
  </w:font>
  <w:font w:name="仿宋">
    <w:panose1 w:val="02010609060101010101"/>
    <w:charset w:val="86"/>
    <w:family w:val="auto"/>
    <w:pitch w:val="default"/>
    <w:sig w:usb0="800002BF" w:usb1="38CF7CFA" w:usb2="00000016" w:usb3="00000000" w:csb0="00040001" w:csb1="00000000"/>
    <w:embedRegular r:id="rId8" w:fontKey="{C187CD3E-F5DC-4984-ACB4-B717DD233DD8}"/>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FCA33D"/>
    <w:multiLevelType w:val="singleLevel"/>
    <w:tmpl w:val="A2FCA33D"/>
    <w:lvl w:ilvl="0" w:tentative="0">
      <w:start w:val="1"/>
      <w:numFmt w:val="decimal"/>
      <w:suff w:val="nothing"/>
      <w:lvlText w:val="%1、"/>
      <w:lvlJc w:val="left"/>
    </w:lvl>
  </w:abstractNum>
  <w:abstractNum w:abstractNumId="1">
    <w:nsid w:val="ACFB97E1"/>
    <w:multiLevelType w:val="singleLevel"/>
    <w:tmpl w:val="ACFB97E1"/>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1MDA2MGM4ZjUwMWFjNDY2ODJlNDIyNGIyNzFmNTkifQ=="/>
  </w:docVars>
  <w:rsids>
    <w:rsidRoot w:val="029F6B9D"/>
    <w:rsid w:val="029F6B9D"/>
    <w:rsid w:val="0B8A2781"/>
    <w:rsid w:val="2924247C"/>
    <w:rsid w:val="4265497C"/>
    <w:rsid w:val="4E4742C7"/>
    <w:rsid w:val="5A5135DD"/>
    <w:rsid w:val="5DCF09AC"/>
    <w:rsid w:val="65D61121"/>
    <w:rsid w:val="7B335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0"/>
    <w:pPr>
      <w:keepNext/>
      <w:keepLines/>
      <w:widowControl w:val="0"/>
      <w:spacing w:before="260" w:after="260" w:line="415" w:lineRule="auto"/>
      <w:outlineLvl w:val="1"/>
    </w:pPr>
    <w:rPr>
      <w:rFonts w:ascii="Arial" w:hAnsi="Arial" w:eastAsia="黑体"/>
      <w:b/>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Indent 2"/>
    <w:basedOn w:val="1"/>
    <w:next w:val="4"/>
    <w:autoRedefine/>
    <w:qFormat/>
    <w:uiPriority w:val="0"/>
    <w:pPr>
      <w:ind w:firstLine="630"/>
    </w:pPr>
    <w:rPr>
      <w:rFonts w:ascii="仿宋_GB2312" w:hAnsi="Times New Roman" w:eastAsia="仿宋_GB2312"/>
      <w:sz w:val="32"/>
    </w:rPr>
  </w:style>
  <w:style w:type="paragraph" w:styleId="4">
    <w:name w:val="Normal (Web)"/>
    <w:basedOn w:val="1"/>
    <w:autoRedefine/>
    <w:unhideWhenUsed/>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2024-03-14T03:03:00Z</dcterms:created>
  <dc:creator>₯㎕</dc:creator>
  <cp:lastModifiedBy>芒</cp:lastModifiedBy>
  <dcterms:modified xsi:type="dcterms:W3CDTF">2024-03-18T07:27:59Z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457C7B045DA14C81936A4BACFAB3D2F0_13</vt:lpwstr>
  </property>
</Properties>
</file>