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4D342">
      <w:pPr>
        <w:jc w:val="distribut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42"/>
          <w:sz w:val="124"/>
          <w:szCs w:val="124"/>
          <w:lang w:val="en-US" w:eastAsia="zh-CN"/>
        </w:rPr>
        <w:t>中共崇阳县委农村工作领导小组文件</w:t>
      </w:r>
    </w:p>
    <w:p w14:paraId="4E7306D1"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1AD56132">
      <w:pPr>
        <w:tabs>
          <w:tab w:val="left" w:pos="3197"/>
        </w:tabs>
        <w:bidi w:val="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478790</wp:posOffset>
                </wp:positionV>
                <wp:extent cx="5720715" cy="0"/>
                <wp:effectExtent l="0" t="12700" r="1333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12850" y="3024505"/>
                          <a:ext cx="57207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45pt;margin-top:37.7pt;height:0pt;width:450.45pt;z-index:251659264;mso-width-relative:page;mso-height-relative:page;" filled="f" stroked="t" coordsize="21600,21600" o:gfxdata="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wAd4g1wAAAAgBAAAPAAAAAAAAAAEAIAAAACIAAABkcnMvZG93bnJldi54&#10;bWxQSwECFAAUAAAACACHTuJAwrLX5vsBAADMAwAADgAAAAAAAAABACAAAAAmAQAAZHJzL2Uyb0Rv&#10;Yy54bWxQSwUGAAAAAAYABgBZAQAAkwUAAAAA&#10;">
                <v:fill on="f" focussize="0,0"/>
                <v:stroke weight="2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崇农组发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3号</w:t>
      </w:r>
    </w:p>
    <w:p w14:paraId="4ABC3169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359D42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auto"/>
          <w:lang w:eastAsia="zh-CN"/>
        </w:rPr>
      </w:pPr>
    </w:p>
    <w:p w14:paraId="63C930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auto"/>
          <w:lang w:eastAsia="zh-CN"/>
        </w:rPr>
        <w:t>中共崇阳县委农村工作领导小组关于印发</w:t>
      </w:r>
    </w:p>
    <w:p w14:paraId="4E9BA0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auto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eastAsia="zh-CN"/>
        </w:rPr>
        <w:t>崇阳县就业帮扶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  <w:t>车间规范化管理办法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auto"/>
          <w:lang w:eastAsia="zh-CN"/>
        </w:rPr>
        <w:t>》</w:t>
      </w:r>
    </w:p>
    <w:p w14:paraId="5351B1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auto"/>
          <w:lang w:eastAsia="zh-CN"/>
        </w:rPr>
        <w:t>的通知</w:t>
      </w:r>
    </w:p>
    <w:p w14:paraId="2A60FE42">
      <w:pPr>
        <w:pStyle w:val="5"/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333333"/>
          <w:sz w:val="40"/>
          <w:szCs w:val="40"/>
          <w:shd w:val="clear" w:color="auto" w:fill="auto"/>
          <w:lang w:eastAsia="zh-CN"/>
        </w:rPr>
      </w:pPr>
    </w:p>
    <w:p w14:paraId="21935F00">
      <w:pPr>
        <w:pStyle w:val="5"/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auto"/>
          <w:lang w:eastAsia="zh-CN"/>
        </w:rPr>
        <w:t>各乡镇人民政府，县直各单位：</w:t>
      </w:r>
    </w:p>
    <w:p w14:paraId="39FBF367">
      <w:pPr>
        <w:keepNext w:val="0"/>
        <w:keepLines w:val="0"/>
        <w:pageBreakBefore w:val="0"/>
        <w:widowControl/>
        <w:overflowPunct/>
        <w:topLinePunct w:val="0"/>
        <w:bidi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eastAsia="zh-CN"/>
        </w:rPr>
        <w:t>崇阳县就业帮扶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</w:rPr>
        <w:t>车间规范化管理办法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auto"/>
          <w:lang w:eastAsia="zh-CN"/>
        </w:rPr>
        <w:t>》已经中共崇阳县委农村工作领导小组研究同意，现印发给你们，请遵照执行。</w:t>
      </w:r>
    </w:p>
    <w:p w14:paraId="317D0CA5">
      <w:pPr>
        <w:pStyle w:val="5"/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2880" w:firstLineChars="900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auto"/>
          <w:lang w:eastAsia="zh-CN"/>
        </w:rPr>
      </w:pPr>
    </w:p>
    <w:p w14:paraId="7781BD84">
      <w:pPr>
        <w:pStyle w:val="5"/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2880" w:firstLineChars="900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auto"/>
          <w:lang w:eastAsia="zh-CN"/>
        </w:rPr>
      </w:pPr>
    </w:p>
    <w:p w14:paraId="234E6BB0">
      <w:pPr>
        <w:pStyle w:val="5"/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2880" w:firstLineChars="900"/>
        <w:jc w:val="righ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auto"/>
          <w:lang w:eastAsia="zh-CN"/>
        </w:rPr>
        <w:t>中共崇阳县委农村工作领导小组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auto"/>
          <w:lang w:val="en-US" w:eastAsia="zh-CN"/>
        </w:rPr>
        <w:t xml:space="preserve">    </w:t>
      </w:r>
    </w:p>
    <w:p w14:paraId="7F2326E4">
      <w:pPr>
        <w:pStyle w:val="5"/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520" w:firstLineChars="1100"/>
        <w:jc w:val="righ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auto"/>
          <w:lang w:val="en-US" w:eastAsia="zh-CN"/>
        </w:rPr>
        <w:t xml:space="preserve">2025年4月21日         </w:t>
      </w:r>
      <w:bookmarkStart w:id="0" w:name="_GoBack"/>
      <w:bookmarkEnd w:id="0"/>
    </w:p>
    <w:p w14:paraId="7F0E7018">
      <w:pPr>
        <w:spacing w:before="136" w:line="219" w:lineRule="auto"/>
        <w:ind w:left="706"/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eastAsia="zh-CN"/>
        </w:rPr>
      </w:pPr>
    </w:p>
    <w:p w14:paraId="7A314F0A">
      <w:pPr>
        <w:spacing w:before="136" w:line="219" w:lineRule="auto"/>
        <w:ind w:left="706"/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eastAsia="zh-CN"/>
        </w:rPr>
      </w:pPr>
    </w:p>
    <w:p w14:paraId="64230727">
      <w:pPr>
        <w:spacing w:before="136" w:line="219" w:lineRule="auto"/>
        <w:ind w:left="706"/>
        <w:rPr>
          <w:rFonts w:hint="eastAsia" w:ascii="宋体" w:hAnsi="宋体" w:eastAsia="宋体" w:cs="宋体"/>
          <w:b/>
          <w:bCs/>
          <w:spacing w:val="6"/>
          <w:sz w:val="42"/>
          <w:szCs w:val="42"/>
          <w:lang w:eastAsia="zh-CN"/>
        </w:rPr>
      </w:pPr>
    </w:p>
    <w:p w14:paraId="239EED4B">
      <w:pPr>
        <w:spacing w:before="136" w:line="219" w:lineRule="auto"/>
        <w:rPr>
          <w:rFonts w:hint="eastAsia" w:ascii="宋体" w:hAnsi="宋体" w:eastAsia="宋体" w:cs="宋体"/>
          <w:b/>
          <w:bCs/>
          <w:spacing w:val="6"/>
          <w:sz w:val="42"/>
          <w:szCs w:val="42"/>
          <w:lang w:eastAsia="zh-CN"/>
        </w:rPr>
      </w:pPr>
    </w:p>
    <w:p w14:paraId="3693F41F">
      <w:pPr>
        <w:spacing w:before="136" w:line="219" w:lineRule="auto"/>
        <w:ind w:left="706"/>
        <w:rPr>
          <w:rFonts w:hint="eastAsia" w:ascii="宋体" w:hAnsi="宋体" w:eastAsia="宋体" w:cs="宋体"/>
          <w:b/>
          <w:bCs/>
          <w:spacing w:val="6"/>
          <w:sz w:val="42"/>
          <w:szCs w:val="42"/>
          <w:lang w:eastAsia="zh-CN"/>
        </w:rPr>
      </w:pPr>
    </w:p>
    <w:p w14:paraId="6927CA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eastAsia="zh-CN"/>
        </w:rPr>
        <w:t>崇阳县就业帮扶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  <w:t>车间规范化管理办法</w:t>
      </w:r>
    </w:p>
    <w:p w14:paraId="551042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79F6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9"/>
          <w:sz w:val="32"/>
          <w:szCs w:val="32"/>
        </w:rPr>
        <w:t>第一章</w:t>
      </w:r>
      <w:r>
        <w:rPr>
          <w:rFonts w:hint="eastAsia" w:ascii="黑体" w:hAnsi="黑体" w:eastAsia="黑体" w:cs="黑体"/>
          <w:b w:val="0"/>
          <w:bCs w:val="0"/>
          <w:spacing w:val="-9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9"/>
          <w:sz w:val="32"/>
          <w:szCs w:val="32"/>
        </w:rPr>
        <w:t>总则</w:t>
      </w:r>
    </w:p>
    <w:p w14:paraId="46F52C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3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进一步加强就业帮扶车间规范化管理，带动更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多脱贫劳动力就地就近稳定就业增收，巩固拓展脱贫攻坚成果，助力全面推进乡村振兴，根据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湖北省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人力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资源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社会保障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湖北省人民政府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扶贫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开发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公室印发的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湖北省扶贫车间规范化管理办法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</w:rPr>
        <w:t>的通知》(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lang w:eastAsia="zh-CN"/>
        </w:rPr>
        <w:t>鄂政扶发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</w:rPr>
        <w:t>号)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精神，结合我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实际，制定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</w:rPr>
        <w:t>本办法。</w:t>
      </w:r>
    </w:p>
    <w:p w14:paraId="4541C4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3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帮扶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车间是指，建在乡、村，吸纳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脱贫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口（含监测对象）就地就近就业的生产车间或场所。</w:t>
      </w:r>
    </w:p>
    <w:p w14:paraId="3B5C14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6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坚持认定标准，规范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帮扶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车间认定管理工作，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坚决杜绝将低质低效、带动能力差的就业车间认定为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t>帮扶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车间。</w:t>
      </w:r>
    </w:p>
    <w:p w14:paraId="6D7B4F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pacing w:val="-1"/>
          <w:sz w:val="32"/>
          <w:szCs w:val="32"/>
        </w:rPr>
        <w:t>第二章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pacing w:val="-1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pacing w:val="-1"/>
          <w:sz w:val="32"/>
          <w:szCs w:val="32"/>
        </w:rPr>
        <w:t>认定程序</w:t>
      </w:r>
    </w:p>
    <w:p w14:paraId="1863D7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4"/>
        <w:textAlignment w:val="baseline"/>
        <w:rPr>
          <w:rFonts w:hint="eastAsia" w:ascii="仿宋_GB2312" w:hAnsi="仿宋_GB2312" w:eastAsia="仿宋_GB2312" w:cs="仿宋_GB2312"/>
          <w:spacing w:val="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4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  <w:lang w:eastAsia="zh-CN"/>
        </w:rPr>
        <w:t>认定标准。就业帮扶车间要有固定经营或生产</w:t>
      </w:r>
      <w:r>
        <w:rPr>
          <w:rFonts w:hint="eastAsia" w:ascii="仿宋_GB2312" w:hAnsi="仿宋_GB2312" w:eastAsia="仿宋_GB2312" w:cs="仿宋_GB2312"/>
          <w:color w:val="auto"/>
          <w:spacing w:val="33"/>
          <w:sz w:val="32"/>
          <w:szCs w:val="32"/>
          <w:lang w:eastAsia="zh-CN"/>
        </w:rPr>
        <w:t>场所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  <w:lang w:eastAsia="zh-CN"/>
        </w:rPr>
        <w:t>；取得合法生产经营手续；原则上吸纳就业人数达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  <w:lang w:val="en-US" w:eastAsia="zh-CN"/>
        </w:rPr>
        <w:t>10人以上且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  <w:lang w:eastAsia="zh-CN"/>
        </w:rPr>
        <w:t>吸纳脱贫人口（含监测对象）就业达30%以上；鼓励签订6个月(含)以上劳动合同或劳务协议且稳定就业3个月(含)以上；车间运行规范，不从事违法、污染及对人体身心有害的生产经营活动，同时制定了健全的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安全生产、劳动纪律、车间管理等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  <w:lang w:eastAsia="zh-CN"/>
        </w:rPr>
        <w:t>生产管理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制度。</w:t>
      </w:r>
    </w:p>
    <w:p w14:paraId="6FC0F3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2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pacing w:val="42"/>
          <w:sz w:val="32"/>
          <w:szCs w:val="32"/>
        </w:rPr>
        <w:t>认定程序。</w:t>
      </w:r>
      <w:r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  <w:t>帮扶</w:t>
      </w:r>
      <w:r>
        <w:rPr>
          <w:rFonts w:hint="eastAsia" w:ascii="仿宋_GB2312" w:hAnsi="仿宋_GB2312" w:eastAsia="仿宋_GB2312" w:cs="仿宋_GB2312"/>
          <w:spacing w:val="42"/>
          <w:sz w:val="32"/>
          <w:szCs w:val="32"/>
        </w:rPr>
        <w:t>车间由</w:t>
      </w:r>
      <w:r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  <w:t>经营业</w:t>
      </w:r>
      <w:r>
        <w:rPr>
          <w:rFonts w:hint="eastAsia" w:ascii="仿宋_GB2312" w:hAnsi="仿宋_GB2312" w:eastAsia="仿宋_GB2312" w:cs="仿宋_GB2312"/>
          <w:spacing w:val="42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  <w:t>向所在地乡镇人民政府提出书面</w:t>
      </w:r>
      <w:r>
        <w:rPr>
          <w:rFonts w:hint="eastAsia" w:ascii="仿宋_GB2312" w:hAnsi="仿宋_GB2312" w:eastAsia="仿宋_GB2312" w:cs="仿宋_GB2312"/>
          <w:spacing w:val="42"/>
          <w:sz w:val="32"/>
          <w:szCs w:val="32"/>
        </w:rPr>
        <w:t>申请，</w:t>
      </w:r>
      <w:r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  <w:t>经乡镇人民政府有关人员现场察看审核同意，公示无异议后，报</w:t>
      </w:r>
      <w:r>
        <w:rPr>
          <w:rFonts w:hint="eastAsia" w:ascii="仿宋_GB2312" w:hAnsi="仿宋_GB2312" w:eastAsia="仿宋_GB2312" w:cs="仿宋_GB2312"/>
          <w:spacing w:val="4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>认定，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>送县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人力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资源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社会保障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>备案，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  <w:lang w:eastAsia="zh-CN"/>
        </w:rPr>
        <w:t>同时对认定合格的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>报市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、人社部门备查，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  <w:lang w:eastAsia="zh-CN"/>
        </w:rPr>
        <w:t>并及时录入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全国防止返贫监测和衔接推进乡村振兴信息系统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未经认定程序的不得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  <w:lang w:eastAsia="zh-CN"/>
        </w:rPr>
        <w:t>录入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。</w:t>
      </w:r>
    </w:p>
    <w:p w14:paraId="00B09C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3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公告公示。县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、人社部门要对认定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eastAsia="zh-CN"/>
        </w:rPr>
        <w:t>帮扶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车间进行公示，公示期为5个工作日，并将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eastAsia="zh-CN"/>
        </w:rPr>
        <w:t>帮扶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车间信息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在政府或部门网站上公告，接受社会监督。</w:t>
      </w:r>
    </w:p>
    <w:p w14:paraId="216343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pacing w:val="-1"/>
          <w:sz w:val="32"/>
          <w:szCs w:val="32"/>
        </w:rPr>
        <w:t>第三章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pacing w:val="-1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pacing w:val="-1"/>
          <w:sz w:val="32"/>
          <w:szCs w:val="32"/>
        </w:rPr>
        <w:t>日常管理</w:t>
      </w:r>
    </w:p>
    <w:p w14:paraId="23E067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4"/>
        <w:textAlignment w:val="baseline"/>
        <w:rPr>
          <w:rFonts w:hint="eastAsia" w:ascii="仿宋_GB2312" w:hAnsi="仿宋_GB2312" w:eastAsia="仿宋_GB2312" w:cs="仿宋_GB2312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3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val="en-US" w:eastAsia="zh-CN"/>
        </w:rPr>
        <w:t>乡镇人民政府和县农业农村局要加强日常管理，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建立定期调度机制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，县农业农村局要每季度调度一次，乡镇人民政府要每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月调度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对就业帮扶车间逐一走访、逐一登记，扎实做好基础工作，确保纸质台账数据与全国防止返贫监测信息系统数据一致。</w:t>
      </w:r>
    </w:p>
    <w:p w14:paraId="525E27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3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实行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动态管理。对已认定的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帮扶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车间要及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时录入全国防止返贫监测和衔接推进乡村振兴信息系统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，同时结合调度帮扶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车间数据进行核实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修改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完善，项目信息不得缺项漏项，不得出现逻辑错误；对经营不善等原因闲置、带动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脱贫（含监测对象）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就业人数较少或吸纳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脱贫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人口（含监测对象）比例和数量达不到规定要求的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帮扶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车间，要及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时取消认定，并在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全国防止返贫监测和衔接推进乡村振兴信息系统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内更新。</w:t>
      </w:r>
    </w:p>
    <w:p w14:paraId="1D6792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2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2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建立服务保障机制。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乡镇要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明确每个帮扶车间一名帮扶责任人，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帮助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协调解决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生产过程中的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实际困难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，帮助梳理政策落实情况，确保问题有效解决、政策及时享受。</w:t>
      </w:r>
    </w:p>
    <w:p w14:paraId="60C610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outlineLvl w:val="2"/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pacing w:val="-1"/>
          <w:sz w:val="32"/>
          <w:szCs w:val="32"/>
        </w:rPr>
        <w:t>第四章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pacing w:val="-1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pacing w:val="-1"/>
          <w:sz w:val="32"/>
          <w:szCs w:val="32"/>
        </w:rPr>
        <w:t>支持政策</w:t>
      </w:r>
    </w:p>
    <w:p w14:paraId="248EC5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3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  <w:lang w:eastAsia="zh-CN"/>
        </w:rPr>
        <w:t>帮扶车间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实际情况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  <w:lang w:eastAsia="zh-CN"/>
        </w:rPr>
        <w:t>，人社部门要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鼓励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  <w:lang w:eastAsia="zh-CN"/>
        </w:rPr>
        <w:t>支持帮扶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车间开展各类培训，提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升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  <w:lang w:eastAsia="zh-CN"/>
        </w:rPr>
        <w:t>脱贫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劳动力就业技能。对符合条件的按规定落实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吸纳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  <w:lang w:eastAsia="zh-CN"/>
        </w:rPr>
        <w:t>脱贫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劳动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力就业一次性奖补。</w:t>
      </w:r>
    </w:p>
    <w:p w14:paraId="3585A0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4"/>
        <w:textAlignment w:val="baseline"/>
        <w:rPr>
          <w:rFonts w:hint="eastAsia" w:ascii="仿宋_GB2312" w:hAnsi="仿宋_GB2312" w:eastAsia="仿宋_GB2312" w:cs="仿宋_GB2312"/>
          <w:spacing w:val="2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鼓励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帮扶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车间与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脱贫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户签订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长期劳务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协议，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就业工资稳定，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取得帮扶实效的，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可按照《关于开展扶贫龙头企业认定和管理的意见》(鄂政扶发〔2018〕12号)的要求，结合实际，按程序对符合条件的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帮扶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车间，优先认定为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帮扶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龙头企业，享受相关优惠政策，切实激发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帮扶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车间参与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巩固拓展脱贫攻坚和衔接推进乡村振兴帮扶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工作的积极性、主动性。</w:t>
      </w:r>
    </w:p>
    <w:p w14:paraId="5BD0EBC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4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农业农村部门每年要统筹预算部分财政资金，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t>对已经认定的帮扶车间，可申请享受农业农村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eastAsia="zh-CN"/>
        </w:rPr>
        <w:t>的新型农业经营主体联农带农奖补政策。对发展前景好，带动能力强，帮扶力度持续稳定的帮扶车间可给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予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适当的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资金项目支持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。</w:t>
      </w:r>
    </w:p>
    <w:p w14:paraId="3F6C9E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9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pacing w:val="29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pacing w:val="29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本办法由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eastAsia="zh-CN"/>
        </w:rPr>
        <w:t>县农业农村局和县人力资源和社会保障局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负责解释。</w:t>
      </w:r>
    </w:p>
    <w:sectPr>
      <w:footerReference r:id="rId5" w:type="default"/>
      <w:pgSz w:w="11910" w:h="16850"/>
      <w:pgMar w:top="2098" w:right="1474" w:bottom="1984" w:left="1587" w:header="0" w:footer="134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501C37-1368-4B5E-8488-0FC877C1B8B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D9C38AB-FCE5-4913-9ABB-41AE995ADD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906E53F-5B25-47C4-AA5F-8BC04026DF2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F91E801-9B28-4C1A-B4E7-85E4CC8D51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E1495">
    <w:pPr>
      <w:spacing w:line="234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93BC2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93BC2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AD0616C"/>
    <w:rsid w:val="1FA72E5D"/>
    <w:rsid w:val="21FA6D35"/>
    <w:rsid w:val="28CA01D8"/>
    <w:rsid w:val="318C6462"/>
    <w:rsid w:val="3772EDE0"/>
    <w:rsid w:val="66F967F0"/>
    <w:rsid w:val="69B643A4"/>
    <w:rsid w:val="6C1F4681"/>
    <w:rsid w:val="6C95331C"/>
    <w:rsid w:val="7FFCFFBB"/>
    <w:rsid w:val="D5DF546E"/>
    <w:rsid w:val="E0AFB4EF"/>
    <w:rsid w:val="F5EE9725"/>
    <w:rsid w:val="FF16F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6"/>
      <w:szCs w:val="26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1555</Words>
  <Characters>1572</Characters>
  <TotalTime>5</TotalTime>
  <ScaleCrop>false</ScaleCrop>
  <LinksUpToDate>false</LinksUpToDate>
  <CharactersWithSpaces>1576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2025-04-18T01:01:00Z</dcterms:created>
  <dc:creator>Administrator</dc:creator>
  <cp:lastModifiedBy>谁与流年</cp:lastModifiedBy>
  <cp:lastPrinted>2025-04-30T02:53:15Z</cp:lastPrinted>
  <dcterms:modified xsi:type="dcterms:W3CDTF">2025-04-30T02:53:33Z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2025-04-16T17:01:24Z</vt:filetime>
  </property>
  <property fmtid="{D5CDD505-2E9C-101B-9397-08002B2CF9AE}" pid="4" name="UsrData">
    <vt:lpwstr>67ff71e2da9aad00209776d4wl</vt:lpwstr>
  </property>
  <property fmtid="{D5CDD505-2E9C-101B-9397-08002B2CF9AE}" pid="5" name="KSOTemplateDocerSaveRecord">
    <vt:lpwstr>eyJoZGlkIjoiMWIzZWI2OGI5MWVhNjkzY2MzMjY5NThkNDFlYTkyZWQiLCJ1c2VySWQiOiI0MjMzMjgwMjQifQ==</vt:lpwstr>
  </property>
  <property fmtid="{D5CDD505-2E9C-101B-9397-08002B2CF9AE}" pid="6" name="KSOProductBuildVer">
    <vt:lpwstr>2052-12.1.0.21171</vt:lpwstr>
  </property>
  <property fmtid="{D5CDD505-2E9C-101B-9397-08002B2CF9AE}" pid="7" name="ICV">
    <vt:lpwstr>B2B36C98B5D843B9AD5F12AD6E75A8C4_13</vt:lpwstr>
  </property>
</Properties>
</file>