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E3B38">
      <w:pPr>
        <w:pStyle w:val="2"/>
        <w:keepNext w:val="0"/>
        <w:keepLines w:val="0"/>
        <w:widowControl/>
        <w:suppressLineNumbers w:val="0"/>
        <w:spacing w:before="165" w:beforeAutospacing="0" w:after="75" w:afterAutospacing="0" w:line="525" w:lineRule="atLeas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649860DE">
      <w:pPr>
        <w:pStyle w:val="2"/>
        <w:keepNext w:val="0"/>
        <w:keepLines w:val="0"/>
        <w:widowControl/>
        <w:suppressLineNumbers w:val="0"/>
        <w:spacing w:before="165" w:beforeAutospacing="0" w:after="75" w:afterAutospacing="0" w:line="525" w:lineRule="atLeast"/>
        <w:ind w:left="0" w:firstLine="630"/>
        <w:jc w:val="left"/>
        <w:rPr>
          <w:rFonts w:hint="eastAsia" w:ascii="方正小标宋简体" w:hAnsi="方正小标宋简体" w:eastAsia="方正小标宋简体" w:cs="方正小标宋简体"/>
          <w:sz w:val="36"/>
          <w:szCs w:val="36"/>
        </w:rPr>
      </w:pPr>
    </w:p>
    <w:p w14:paraId="165FB241">
      <w:pPr>
        <w:pStyle w:val="2"/>
        <w:keepNext w:val="0"/>
        <w:keepLines w:val="0"/>
        <w:widowControl/>
        <w:suppressLineNumbers w:val="0"/>
        <w:spacing w:before="165" w:beforeAutospacing="0" w:after="75" w:afterAutospacing="0" w:line="525" w:lineRule="atLeast"/>
        <w:ind w:left="0" w:firstLine="630"/>
        <w:jc w:val="left"/>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崇阳（深圳）电商产业园高质量发展考核细则</w:t>
      </w:r>
    </w:p>
    <w:p w14:paraId="57BA409A">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总则</w:t>
      </w:r>
    </w:p>
    <w:p w14:paraId="567CAE2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贯彻落实《崇阳（深圳）电商产业园高质量发展实施方案》，建立健全“目标引领、绩效导向、按效付费、规范运行”的园区长效运营管理机制，确保园区安全、有序、高效运营，充分发挥其招商引资、产业孵化、税源培育等功能，特制定本考核细则。</w:t>
      </w:r>
    </w:p>
    <w:p w14:paraId="17086A2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本细则适用于崇阳（深圳）电商产业园运营服务的全周期管理，是园区运营服务绩效考核、运营费用拨付及监督管理的基本依据。</w:t>
      </w:r>
    </w:p>
    <w:p w14:paraId="413940E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考核对象与主体</w:t>
      </w:r>
    </w:p>
    <w:p w14:paraId="62640A8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考核对象</w:t>
      </w:r>
    </w:p>
    <w:p w14:paraId="409CBA7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考核工作由崇阳县商务局牵头，联合县税务局及相关部门组成“园区运营绩效考核小组”（以下简称“考核小组”），负责组织实施。必要时，可引入第三方评估机构参与独立评估。</w:t>
      </w:r>
    </w:p>
    <w:p w14:paraId="61CA030D">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考核主体</w:t>
      </w:r>
    </w:p>
    <w:p w14:paraId="345B0D1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考核工作由崇阳县商务局牵头，联合县税务局及相关部门组成“园区运营绩效考核小组”（以下简称“考核小组”），负责组织实施。必要时，可引入第三方评估机构参与独立评估。</w:t>
      </w:r>
    </w:p>
    <w:p w14:paraId="58C70682">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考核周期与流程</w:t>
      </w:r>
    </w:p>
    <w:p w14:paraId="5AAB71DD">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考核周期</w:t>
      </w:r>
    </w:p>
    <w:p w14:paraId="731236D7">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考核工作每半年组织一次。考核期为2026年9月至2029年8月。项目整体实施期内持续考核，其中2026年9月1日起至2026年12月31日为试运营期，不作硬性考核。</w:t>
      </w:r>
    </w:p>
    <w:p w14:paraId="45DEE0B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考核流程</w:t>
      </w:r>
    </w:p>
    <w:p w14:paraId="70EF0703">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（一）材料报送。运营主体应在每个考核周期结束后十五个工作日内，向考核小组报送自评报告及相关佐证材料。</w:t>
      </w:r>
    </w:p>
    <w:p w14:paraId="2E5EB8B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数据核定。考核小组各成员单位依据职责分工，对相关指标数据进行核定。涉及GDP、社零、纳限企业数量等由统计部门依法核定的事项，由考核小组另行函请崇阳县统计局协助提供相关数据；涉及税收数据的事项，由崇阳县税务局核定提供。</w:t>
      </w:r>
      <w:bookmarkStart w:id="0" w:name="_GoBack"/>
      <w:bookmarkEnd w:id="0"/>
    </w:p>
    <w:p w14:paraId="47FF9C25">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（三）综合评议。考核小组召开联席会议，对运营主体工作绩效进行综合评议，形成初步考核结果。</w:t>
      </w:r>
    </w:p>
    <w:p w14:paraId="26D6DCC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（四）结果公示与确认。初步考核结果应向运营主体公示，公示期不少于五个工作日。公示无异议后，由考核小组联合发文确认最终考核结果。</w:t>
      </w:r>
    </w:p>
    <w:p w14:paraId="0CF3481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考核指标与评分标准</w:t>
      </w:r>
    </w:p>
    <w:p w14:paraId="1C03BE6D">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考核采用百分制，总分共计100分，由以下七个维度构成。</w:t>
      </w:r>
    </w:p>
    <w:p w14:paraId="28D16B28">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税收贡献指标（60分）</w:t>
      </w:r>
    </w:p>
    <w:p w14:paraId="073F33AE">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园区入驻企业实际缴纳入库的税收总额。首期半年目标值为不低于人民币3000万元；全面运营期半年目标值为不低于人民币4500万元。数据以国家税务总局崇阳县税务局核定为准。实际完成值达到目标值的，得满分；未达到的，按“实际完成值／目标值×分值”的比例计分。</w:t>
      </w:r>
    </w:p>
    <w:p w14:paraId="1D0EE33F">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　GDP贡献指标（10分）</w:t>
      </w:r>
    </w:p>
    <w:p w14:paraId="4673CB88">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园区入驻企业所创造的增加值。首期半年目标值为不低于人民币10亿元；全面运营期半年目标值为不低于人民币25亿元。数据以崇阳县统计局核定数据为准，由考核小组函请崇阳县统计局协助提供。计分方式同第八条。</w:t>
      </w:r>
    </w:p>
    <w:p w14:paraId="003C1E26">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外贸出口指标（5分）</w:t>
      </w:r>
    </w:p>
    <w:p w14:paraId="5BD1351C">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考核园区企业外贸进出口总额（含跨境电商）。首期半年目标值为不低于人民币1.5亿元；全面运营期年度目标值为不低于人民币3亿元。数据以海关统计或崇阳县商务局核定为准。计分方式同第八条。</w:t>
      </w:r>
    </w:p>
    <w:p w14:paraId="2426A763">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　社会消费品零售总额指标（5分）</w:t>
      </w:r>
    </w:p>
    <w:p w14:paraId="12514A9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园区内纳入限额以上统计的企业所实现的社会消费品零售总额。首期半年目标值为不低于人民币2.5亿元；全面运营期年度目标值为不低于人民币5亿元。数据以崇阳县统计局核定数据为准，由考核小组函请崇阳县统计局协助提供。　计分方式同第八条。</w:t>
      </w:r>
    </w:p>
    <w:p w14:paraId="1D69A07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招商与企业培育指标（5分）</w:t>
      </w:r>
    </w:p>
    <w:p w14:paraId="4798B85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本指标包含三项子指标，任一项达标，计满分。</w:t>
      </w:r>
    </w:p>
    <w:p w14:paraId="154DAB15">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（一）入驻企业数量。首期半年目标值为不低于30家；全面运营期目标值为不低于50家。以运营主体报送并经考核小组实地核查的数据为准。</w:t>
      </w:r>
    </w:p>
    <w:p w14:paraId="3BD110A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（二）纳限企业数量。首期半年目标值为不低于2家；全面运营期目标值为不低于10家。以崇阳县统计局核定数据为准，由考核小组函请崇阳县统计局协助提供。</w:t>
      </w:r>
    </w:p>
    <w:p w14:paraId="4C01D62C">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（三）龙头企业数量。全面运营期目标值为培育年销售额超人民币1亿元的龙头企业不低于10家。以企业审计报告及税务数据为准。</w:t>
      </w:r>
    </w:p>
    <w:p w14:paraId="2EBD7CE5">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　人才培育指标（10分）</w:t>
      </w:r>
    </w:p>
    <w:p w14:paraId="12348896">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考核累计培训并成功输送的电商专业人才数量。人才认定以与园区企业签订劳动合同并依法缴纳社会保险为依据。首期半年累计目标值为不低于30人；全面运营期累计目标值为不低于60人。以培训记录、劳动合同及社保缴纳凭证共同核定。</w:t>
      </w:r>
    </w:p>
    <w:p w14:paraId="36CF425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运营规范与服务指标（5分）</w:t>
      </w:r>
    </w:p>
    <w:p w14:paraId="611F195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本指标包含以下三项子指标，全部达标得满分，任一项不达标酌情扣分。</w:t>
      </w:r>
    </w:p>
    <w:p w14:paraId="72DA717E">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（一）数据报送。要求及时、准确，无漏报、错报。由崇阳县商务局核定。</w:t>
      </w:r>
    </w:p>
    <w:p w14:paraId="5651440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（二）企业满意度。目标值为不低于百分之八十。以运营主体组织的、考核小组认可的问卷调查结果为准。</w:t>
      </w:r>
    </w:p>
    <w:p w14:paraId="10876FE6">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（三）安全运营。要求运营期内无重大安全生产事故、无重大负面舆情事件。以相关主管部门的认定为准。</w:t>
      </w:r>
    </w:p>
    <w:p w14:paraId="4E0F24BF">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考核结果与费用挂钩</w:t>
      </w:r>
    </w:p>
    <w:p w14:paraId="411E53A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考核结果等次</w:t>
      </w:r>
    </w:p>
    <w:p w14:paraId="703B833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根据考核得分，结果分为四个等次：</w:t>
      </w:r>
    </w:p>
    <w:p w14:paraId="5B6EC35D">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（一）优秀：考核得分在90分及以上；</w:t>
      </w:r>
    </w:p>
    <w:p w14:paraId="6D6CF82E">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（二）良好：考核得分在80分至90分（不含90分）；</w:t>
      </w:r>
    </w:p>
    <w:p w14:paraId="2C2708EC">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（三）合格：考核得分在60分至80分（不含80分）；</w:t>
      </w:r>
    </w:p>
    <w:p w14:paraId="004B107E">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（四）不合格：考核得分在60分以下（不含60分）。</w:t>
      </w:r>
    </w:p>
    <w:p w14:paraId="16DD92E2">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　运营费用核算与计提标准</w:t>
      </w:r>
    </w:p>
    <w:p w14:paraId="6097B61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（一）增值税核算口径。园区内所有入驻企业实际缴纳的增值税（全口径）作为运营服务费的计提基数。增值税数据以国家税务总局崇阳县税务局核定的实际入库金额为准。</w:t>
      </w:r>
    </w:p>
    <w:p w14:paraId="55B10A4F">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（二）计提比例。园区运营服务费按上述增值税全口径的百分之三十八（38％）按月计提。</w:t>
      </w:r>
    </w:p>
    <w:p w14:paraId="346B5C4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（三）税费说明。企业所得税、个人所得税、城市维护建设税、教育费附加、地方教育附加等各项税费，由入驻企业及运营主体依法正常缴纳，不纳入运营服务费计提基数，亦不因此减免。</w:t>
      </w:r>
    </w:p>
    <w:p w14:paraId="7A5A2466">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（四）年终汇算。每半年依据考核结果进行服务费的汇算与调整，年终进行最终结算。</w:t>
      </w:r>
    </w:p>
    <w:p w14:paraId="4AD7BBAF">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　支付主体与方式</w:t>
      </w:r>
    </w:p>
    <w:p w14:paraId="2B557A7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（一）支付主体。由崇阳经济开发区投资有限公司（以下简称“崇阳经开投”）作为运营服务费的统一支付主体，承担向运营主体（湖北崇深企业服务有限公司）支付运营服务费的义务。</w:t>
      </w:r>
    </w:p>
    <w:p w14:paraId="52F289D2">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（二）资金来源。崇阳经开投支付运营服务费所需资金由其自行统筹安排，资金来源与园区入驻企业缴纳的增值税全口径挂钩。</w:t>
      </w:r>
    </w:p>
    <w:p w14:paraId="4C961867">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（三）费用性质。该运营服务费专项用于园区运营支出，入驻企业不承担任何运营服务费用。</w:t>
      </w:r>
    </w:p>
    <w:p w14:paraId="44D9DBB3">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　资金支付流程</w:t>
      </w:r>
    </w:p>
    <w:p w14:paraId="6ED852E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（一）崇阳经开投根据考核小组确认的考核结果及应付金额，按时支付至运营主体指定账户。</w:t>
      </w:r>
    </w:p>
    <w:p w14:paraId="158D0795">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（二）崇阳经开投不得截留、挤占、挪用运营服务费资金，不得以任何理由延迟支付。</w:t>
      </w:r>
    </w:p>
    <w:p w14:paraId="576CCB3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　考核结果挂钩机制</w:t>
      </w:r>
    </w:p>
    <w:p w14:paraId="5BBFEA4D">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运营服务费根据半年考核结果支付，计提基数为当期园区入驻企业实际缴纳的增值税全口径的百分之三十八（38％），具体支付规则如下：</w:t>
      </w:r>
    </w:p>
    <w:p w14:paraId="5B37DEA5">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（一）考核等次为优秀的，崇阳经开投按计提金额的110％向运营主体支付当期服务费。</w:t>
      </w:r>
    </w:p>
    <w:p w14:paraId="2A479D06">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（二）考核等次为良好的，崇阳经开投按计提金额的105％向运营主体支付当期服务费。</w:t>
      </w:r>
    </w:p>
    <w:p w14:paraId="0C00F11A">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（三）考核等次为合格的，崇阳经开投按计提金额的100％向运营主体支付当期服务费。</w:t>
      </w:r>
    </w:p>
    <w:p w14:paraId="1194334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（四）考核等次为不合格的，暂停支付当期服务费。运营主体应在九十个工作日内完成整改，经考核小组验收合格后，崇阳经开投恢复支付。</w:t>
      </w:r>
    </w:p>
    <w:p w14:paraId="32742B2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（五）连续三次考核等次均为不合格的，崇阳县商务局有权提前终止运营服务合同。</w:t>
      </w:r>
    </w:p>
    <w:p w14:paraId="5C1F2294">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第六章　资金管理与监督</w:t>
      </w:r>
    </w:p>
    <w:p w14:paraId="6A6A292B">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专用账户管理</w:t>
      </w:r>
    </w:p>
    <w:p w14:paraId="783DF958">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崇阳经济开发区投资有限公司须设立运营服务费专用账户，实行专户管理、专款专用，不得与公司其他资金混同使用。</w:t>
      </w:r>
    </w:p>
    <w:p w14:paraId="322C70A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　资金使用范围</w:t>
      </w:r>
    </w:p>
    <w:p w14:paraId="58A1DFF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营服务费专项用于与园区运营直接相关的支出，包括但不限于：场地日常运维、运营人员薪酬、招商引资活动、企业孵化培育、电商及跨境电商技能培训、品牌宣传推广、市场资源对接、设施设备维护、物业服务保障、跨境电商合规服务及日常综合管理等。严禁挤占、截留、挪用或套取。</w:t>
      </w:r>
    </w:p>
    <w:p w14:paraId="0831B6C3">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　财务监管</w:t>
      </w:r>
    </w:p>
    <w:p w14:paraId="19517B21">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营主体须对运营服务费实行专账核算、专款专用，建立清晰的资金使用台账，并每半年向考核小组报送资金使用情况报告。崇阳经济开发区投资有限公司须每半年向考核小组报送资金支付情况报告。运营主体及崇阳经济开发区投资有限公司须自觉接受崇阳县商务局、崇阳县税务局等部门的监督检查与绩效评价，涉及财政资金使用的，同时接受崇阳县财政局的监督与绩效评价。</w:t>
      </w:r>
    </w:p>
    <w:p w14:paraId="16E76D87">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第七章　动态调整与附则</w:t>
      </w:r>
    </w:p>
    <w:p w14:paraId="4FB83AC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　动态调整机制</w:t>
      </w:r>
    </w:p>
    <w:p w14:paraId="20D3052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（一）园区运行满一年后，崇阳县商务局可根据园区实际运行情况、宏观政策及市场环境变化，对考核指标、目标值及分值权重等提出优化调整方案，报崇阳（深圳）电商产业园建设工作领导小组审定后执行。</w:t>
      </w:r>
    </w:p>
    <w:p w14:paraId="38C31C0E">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（二）如遇国家或地方重大政策调整、产业导向发生根本性变化等特殊情况，可临时启动指标修订程序。</w:t>
      </w:r>
    </w:p>
    <w:p w14:paraId="65CB5C0A">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　细则效力</w:t>
      </w:r>
    </w:p>
    <w:p w14:paraId="7BC68D08">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本细则与《崇阳（深圳）电商产业园高质量发展实施方案》配套实施。两者如有不一致之处，以本细则为准。</w:t>
      </w:r>
    </w:p>
    <w:p w14:paraId="7C62E122">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　解释权</w:t>
      </w:r>
    </w:p>
    <w:p w14:paraId="094488FC">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本细则由崇阳县商务局负责解释。</w:t>
      </w:r>
    </w:p>
    <w:p w14:paraId="2A2C2990">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第二十六条　施行日期</w:t>
      </w:r>
    </w:p>
    <w:p w14:paraId="46076979">
      <w:pPr>
        <w:pStyle w:val="2"/>
        <w:keepNext w:val="0"/>
        <w:keepLines w:val="0"/>
        <w:widowControl/>
        <w:suppressLineNumbers w:val="0"/>
        <w:spacing w:before="165" w:beforeAutospacing="0" w:after="75" w:afterAutospacing="0" w:line="525" w:lineRule="atLeast"/>
        <w:ind w:left="0" w:firstLine="63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本细则自印发之日起试行，有效期至2029年8月31日。</w:t>
      </w:r>
    </w:p>
    <w:p w14:paraId="3227F8D1">
      <w:pPr>
        <w:pStyle w:val="2"/>
        <w:keepNext w:val="0"/>
        <w:keepLines w:val="0"/>
        <w:widowControl/>
        <w:suppressLineNumbers w:val="0"/>
        <w:spacing w:before="165" w:beforeAutospacing="0" w:after="315" w:afterAutospacing="0" w:line="525" w:lineRule="atLeast"/>
        <w:ind w:left="0" w:firstLine="630"/>
        <w:jc w:val="right"/>
        <w:rPr>
          <w:rFonts w:hint="eastAsia" w:ascii="仿宋_GB2312" w:hAnsi="仿宋_GB2312" w:eastAsia="仿宋_GB2312" w:cs="仿宋_GB2312"/>
          <w:sz w:val="32"/>
          <w:szCs w:val="32"/>
        </w:rPr>
      </w:pPr>
    </w:p>
    <w:p w14:paraId="093F70F2">
      <w:pPr>
        <w:pStyle w:val="2"/>
        <w:keepNext w:val="0"/>
        <w:keepLines w:val="0"/>
        <w:widowControl/>
        <w:suppressLineNumbers w:val="0"/>
        <w:spacing w:line="315" w:lineRule="atLeast"/>
        <w:rPr>
          <w:rFonts w:hint="eastAsia" w:ascii="仿宋_GB2312" w:hAnsi="仿宋_GB2312" w:eastAsia="仿宋_GB2312" w:cs="仿宋_GB2312"/>
          <w:sz w:val="32"/>
          <w:szCs w:val="32"/>
        </w:rPr>
      </w:pPr>
    </w:p>
    <w:p w14:paraId="046A3645">
      <w:pPr>
        <w:spacing w:line="220" w:lineRule="atLeast"/>
        <w:rPr>
          <w:rFonts w:hint="eastAsia" w:ascii="仿宋_GB2312" w:hAnsi="仿宋_GB2312" w:eastAsia="仿宋_GB2312" w:cs="仿宋_GB2312"/>
          <w:sz w:val="32"/>
          <w:szCs w:val="32"/>
        </w:rPr>
      </w:pPr>
    </w:p>
    <w:p w14:paraId="0F153D03">
      <w:pPr>
        <w:rPr>
          <w:rFonts w:hint="eastAsia"/>
          <w:lang w:val="en-US" w:eastAsia="zh-CN"/>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394331"/>
    <w:rsid w:val="0031380D"/>
    <w:rsid w:val="01844ED0"/>
    <w:rsid w:val="032D543C"/>
    <w:rsid w:val="04874344"/>
    <w:rsid w:val="049525BD"/>
    <w:rsid w:val="05165536"/>
    <w:rsid w:val="058758EC"/>
    <w:rsid w:val="06DC7668"/>
    <w:rsid w:val="09A82D92"/>
    <w:rsid w:val="0A1641A0"/>
    <w:rsid w:val="0B13248D"/>
    <w:rsid w:val="0B9C78E8"/>
    <w:rsid w:val="0D637D21"/>
    <w:rsid w:val="0EE379FC"/>
    <w:rsid w:val="0FCB1589"/>
    <w:rsid w:val="13B660AC"/>
    <w:rsid w:val="13E470BD"/>
    <w:rsid w:val="15F47DA3"/>
    <w:rsid w:val="194B373A"/>
    <w:rsid w:val="19940C3D"/>
    <w:rsid w:val="1998697F"/>
    <w:rsid w:val="1C200EAE"/>
    <w:rsid w:val="1ED85A70"/>
    <w:rsid w:val="1F3C231B"/>
    <w:rsid w:val="1F6317DE"/>
    <w:rsid w:val="20E029BA"/>
    <w:rsid w:val="210A7A37"/>
    <w:rsid w:val="21C5052E"/>
    <w:rsid w:val="22083A91"/>
    <w:rsid w:val="222B4109"/>
    <w:rsid w:val="22DD5403"/>
    <w:rsid w:val="231B5F2B"/>
    <w:rsid w:val="233D0244"/>
    <w:rsid w:val="25BD776E"/>
    <w:rsid w:val="27853179"/>
    <w:rsid w:val="29A9551B"/>
    <w:rsid w:val="2A657349"/>
    <w:rsid w:val="2A7725E1"/>
    <w:rsid w:val="2AEB6ED3"/>
    <w:rsid w:val="2B011EAB"/>
    <w:rsid w:val="2B200583"/>
    <w:rsid w:val="2B4A5938"/>
    <w:rsid w:val="2C1520B2"/>
    <w:rsid w:val="2C2422F5"/>
    <w:rsid w:val="2C7F39CF"/>
    <w:rsid w:val="2D03111D"/>
    <w:rsid w:val="2D0B5263"/>
    <w:rsid w:val="2D8D5C78"/>
    <w:rsid w:val="2F845C40"/>
    <w:rsid w:val="2FD302BA"/>
    <w:rsid w:val="30E24E48"/>
    <w:rsid w:val="333A41AC"/>
    <w:rsid w:val="349A75F8"/>
    <w:rsid w:val="37447668"/>
    <w:rsid w:val="37647A49"/>
    <w:rsid w:val="38D96215"/>
    <w:rsid w:val="3A10210A"/>
    <w:rsid w:val="3C067321"/>
    <w:rsid w:val="3D073351"/>
    <w:rsid w:val="3D954E00"/>
    <w:rsid w:val="3ED92ACB"/>
    <w:rsid w:val="3FE931E1"/>
    <w:rsid w:val="40B3559D"/>
    <w:rsid w:val="42CB3072"/>
    <w:rsid w:val="43266633"/>
    <w:rsid w:val="444B30DB"/>
    <w:rsid w:val="44986F84"/>
    <w:rsid w:val="44CB55AC"/>
    <w:rsid w:val="46821C9A"/>
    <w:rsid w:val="489B34E7"/>
    <w:rsid w:val="4C5C4D3B"/>
    <w:rsid w:val="4DF07E31"/>
    <w:rsid w:val="4E5E2FEC"/>
    <w:rsid w:val="4EEF1E97"/>
    <w:rsid w:val="500A342C"/>
    <w:rsid w:val="51654692"/>
    <w:rsid w:val="51711289"/>
    <w:rsid w:val="52B65C87"/>
    <w:rsid w:val="52CC2C1B"/>
    <w:rsid w:val="52F263F9"/>
    <w:rsid w:val="55376345"/>
    <w:rsid w:val="56DF0A43"/>
    <w:rsid w:val="57AB782F"/>
    <w:rsid w:val="57B343A9"/>
    <w:rsid w:val="595A2602"/>
    <w:rsid w:val="5A851901"/>
    <w:rsid w:val="5AC468CD"/>
    <w:rsid w:val="5AFE386D"/>
    <w:rsid w:val="5BE50F40"/>
    <w:rsid w:val="5C7F0CFE"/>
    <w:rsid w:val="603B4F3C"/>
    <w:rsid w:val="6105554A"/>
    <w:rsid w:val="622C4AE5"/>
    <w:rsid w:val="62C3746A"/>
    <w:rsid w:val="630A62C8"/>
    <w:rsid w:val="63540DF0"/>
    <w:rsid w:val="651B533C"/>
    <w:rsid w:val="67F3390B"/>
    <w:rsid w:val="69DF6DFC"/>
    <w:rsid w:val="6BEB1F0C"/>
    <w:rsid w:val="6C537AB1"/>
    <w:rsid w:val="6C5835BD"/>
    <w:rsid w:val="6C781CA5"/>
    <w:rsid w:val="6D08089B"/>
    <w:rsid w:val="6D30394E"/>
    <w:rsid w:val="6D875C64"/>
    <w:rsid w:val="6E625D89"/>
    <w:rsid w:val="6F257441"/>
    <w:rsid w:val="700215D2"/>
    <w:rsid w:val="701557A9"/>
    <w:rsid w:val="70626515"/>
    <w:rsid w:val="71394331"/>
    <w:rsid w:val="71BA0535"/>
    <w:rsid w:val="725325B9"/>
    <w:rsid w:val="732E49C4"/>
    <w:rsid w:val="73552361"/>
    <w:rsid w:val="73753F8A"/>
    <w:rsid w:val="7395275D"/>
    <w:rsid w:val="74F00593"/>
    <w:rsid w:val="757271FA"/>
    <w:rsid w:val="776808B4"/>
    <w:rsid w:val="78C935D5"/>
    <w:rsid w:val="795F5CE7"/>
    <w:rsid w:val="79815C5D"/>
    <w:rsid w:val="79A7509E"/>
    <w:rsid w:val="7AFC1849"/>
    <w:rsid w:val="7BEB5610"/>
    <w:rsid w:val="7C907F65"/>
    <w:rsid w:val="7ED44A81"/>
    <w:rsid w:val="7F2A52BF"/>
    <w:rsid w:val="7F7D6EC7"/>
    <w:rsid w:val="7F8D6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cb6bab7b-7dfa-4d9b-b149-7b654064fccf</errorID>
      <errorWord>）</errorWord>
      <group>L1_Punc</group>
      <groupName>标点问题</groupName>
      <ability>L2_Punc</ability>
      <abilityName>标点符号检查</abilityName>
      <candidateList/>
      <explain>同一形式括号套用。</explain>
      <paraID>34D6EE03</paraID>
      <start>43</start>
      <end>44</end>
      <status>ignored</status>
      <modifiedWord/>
      <trackRevisions>false</trackRevisions>
    </reviewItem>
    <reviewItem>
      <errorID>43e6ecd0-61e6-4a19-8e1f-0a50cfed603a</errorID>
      <errorWord>任务</errorWord>
      <group>L1_AI</group>
      <groupName>深度校对</groupName>
      <ability>L2_AI_Punc</ability>
      <abilityName>标点纠错</abilityName>
      <candidateList>
        <item>任务。</item>
      </candidateList>
      <explain/>
      <paraID>45ED1BC2</paraID>
      <start>8</start>
      <end>10</end>
      <status>ignored</status>
      <modifiedWord/>
      <trackRevisions>false</trackRevisions>
    </reviewItem>
    <reviewItem>
      <errorID>cd7874f2-2e4c-40dd-b3dc-eecd55c51d80</errorID>
      <errorWord>政策上</errorWord>
      <group>L1_AI</group>
      <groupName>深度校对</groupName>
      <ability>L2_AI_Grammar</ability>
      <abilityName>语法纠错</abilityName>
      <candidateList>
        <item>在政策方面</item>
      </candidateList>
      <explain/>
      <paraID>3CBC4B49</paraID>
      <start>0</start>
      <end>5</end>
      <status>modified</status>
      <modifiedWord>在政策方面</modifiedWord>
      <trackRevisions>false</trackRevisions>
    </reviewItem>
    <reviewItem>
      <errorID>f2c036da-4b86-4d10-aa80-94b32ff366a1</errorID>
      <errorWord>人才</errorWord>
      <group>L1_AI</group>
      <groupName>深度校对</groupName>
      <ability>L2_AI_Word</ability>
      <abilityName>字词纠错</abilityName>
      <candidateList>
        <item>在人才</item>
      </candidateList>
      <explain/>
      <paraID>3CBC4B49</paraID>
      <start>65</start>
      <end>68</end>
      <status>modified</status>
      <modifiedWord>在人才</modifiedWord>
      <trackRevisions>false</trackRevisions>
    </reviewItem>
    <reviewItem>
      <errorID>6fb0baef-a768-4cc6-a27d-73bfb70d776d</errorID>
      <errorWord>考核上</errorWord>
      <group>L1_AI</group>
      <groupName>深度校对</groupName>
      <ability>L2_AI_Grammar</ability>
      <abilityName>语法纠错</abilityName>
      <candidateList>
        <item>在考核方面</item>
      </candidateList>
      <explain/>
      <paraID>3CBC4B49</paraID>
      <start>158</start>
      <end>163</end>
      <status>modified</status>
      <modifiedWord>在考核方面</modifiedWord>
      <trackRevisions>false</trackRevisions>
    </reviewItem>
    <reviewItem>
      <errorID>557de856-7e59-4847-b02f-d2f3910c93ef</errorID>
      <errorWord>另</errorWord>
      <group>L1_AI</group>
      <groupName>深度校对</groupName>
      <ability>L2_AI_Word</ability>
      <abilityName>字词纠错</abilityName>
      <candidateList>
        <item>另外</item>
      </candidateList>
      <explain/>
      <paraID>3CBC4B49</paraID>
      <start>205</start>
      <end>207</end>
      <status>modified</status>
      <modifiedWord>另外</modifiedWord>
      <trackRevisions>false</trackRevisions>
    </reviewItem>
  </reviewItems>
  <config/>
</contractReview>
</file>

<file path=customXml/itemProps1.xml><?xml version="1.0" encoding="utf-8"?>
<ds:datastoreItem xmlns:ds="http://schemas.openxmlformats.org/officeDocument/2006/customXml" ds:itemID="{d6711034-8628-42c6-a087-8ad836a15978}">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3377</Words>
  <Characters>3444</Characters>
  <Lines>0</Lines>
  <Paragraphs>0</Paragraphs>
  <TotalTime>0</TotalTime>
  <ScaleCrop>false</ScaleCrop>
  <LinksUpToDate>false</LinksUpToDate>
  <CharactersWithSpaces>3509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2026-04-23T07:30:00Z</dcterms:created>
  <dc:creator>无问</dc:creator>
  <cp:lastModifiedBy>Administrator</cp:lastModifiedBy>
  <cp:lastPrinted>2026-05-07T03:30:00Z</cp:lastPrinted>
  <dcterms:modified xsi:type="dcterms:W3CDTF">2026-07-14T02:07:13Z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A42795AD62514C648AAFF0C7D54BF77E_13</vt:lpwstr>
  </property>
  <property fmtid="{D5CDD505-2E9C-101B-9397-08002B2CF9AE}" pid="4" name="KSOTemplateDocerSaveRecord">
    <vt:lpwstr>eyJoZGlkIjoiYWZhNmM2YjhmZmU3ZWZiZjI4ZjZhZTE5MThmMGFiOGIifQ==</vt:lpwstr>
  </property>
</Properties>
</file>